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955B2">
      <w:pPr>
        <w:jc w:val="center"/>
        <w:rPr>
          <w:rFonts w:hint="eastAsia" w:ascii="仿宋" w:hAnsi="仿宋" w:eastAsia="仿宋" w:cs="仿宋"/>
          <w:sz w:val="32"/>
          <w:szCs w:val="32"/>
        </w:rPr>
      </w:pPr>
      <w:r>
        <w:rPr>
          <w:rFonts w:hint="eastAsia" w:ascii="方正小标宋简体" w:hAnsi="方正小标宋简体" w:eastAsia="方正小标宋简体" w:cs="方正小标宋简体"/>
          <w:sz w:val="32"/>
          <w:szCs w:val="32"/>
          <w:lang w:val="en-US" w:eastAsia="zh-CN"/>
        </w:rPr>
        <w:t>特克斯县</w:t>
      </w:r>
      <w:r>
        <w:rPr>
          <w:rFonts w:hint="eastAsia" w:ascii="方正小标宋简体" w:hAnsi="方正小标宋简体" w:eastAsia="方正小标宋简体" w:cs="方正小标宋简体"/>
          <w:sz w:val="32"/>
          <w:szCs w:val="32"/>
        </w:rPr>
        <w:t>国有建设用地使用权挂牌出让须知</w:t>
      </w:r>
    </w:p>
    <w:p w14:paraId="69612B40">
      <w:pPr>
        <w:jc w:val="center"/>
        <w:rPr>
          <w:rFonts w:hint="default" w:ascii="方正仿宋简体" w:hAnsi="方正仿宋简体" w:eastAsia="方正仿宋简体" w:cs="方正仿宋简体"/>
          <w:color w:val="000000" w:themeColor="text1"/>
          <w:sz w:val="32"/>
          <w:szCs w:val="32"/>
          <w:lang w:val="en-US"/>
          <w14:textFill>
            <w14:solidFill>
              <w14:schemeClr w14:val="tx1"/>
            </w14:solidFill>
          </w14:textFill>
        </w:rPr>
      </w:pPr>
      <w:r>
        <w:rPr>
          <w:rFonts w:hint="eastAsia" w:ascii="Times New Roman" w:hAnsi="Times New Roman" w:eastAsia="方正仿宋简体" w:cs="Times New Roman"/>
          <w:color w:val="auto"/>
          <w:sz w:val="32"/>
          <w:szCs w:val="32"/>
          <w:lang w:val="en-US" w:eastAsia="zh-CN"/>
        </w:rPr>
        <w:t>编号202612（特挂2026-26-27号）</w:t>
      </w:r>
    </w:p>
    <w:p w14:paraId="517E4E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为规范本次国有建设用地使用权挂牌出让活动，根据《中华人民共和国土地管理法》《招标拍卖挂牌出让国</w:t>
      </w:r>
      <w:bookmarkStart w:id="0" w:name="_GoBack"/>
      <w:bookmarkEnd w:id="0"/>
      <w:r>
        <w:rPr>
          <w:rFonts w:hint="eastAsia" w:ascii="方正仿宋简体" w:hAnsi="方正仿宋简体" w:eastAsia="方正仿宋简体" w:cs="方正仿宋简体"/>
          <w:color w:val="000000" w:themeColor="text1"/>
          <w:sz w:val="32"/>
          <w:szCs w:val="32"/>
          <w14:textFill>
            <w14:solidFill>
              <w14:schemeClr w14:val="tx1"/>
            </w14:solidFill>
          </w14:textFill>
        </w:rPr>
        <w:t>有建设用地使用权规定》（国土资源部令第39号）等法律法规及本次挂牌出让公告，制定本须知。凡申请参加本次挂牌竞买的申请人，均视为已仔细阅读并充分理解本须知全部内容，自愿接受本须知及相关出让文件的约束。</w:t>
      </w:r>
    </w:p>
    <w:p w14:paraId="4F86CC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一、竞买人资格确认</w:t>
      </w:r>
    </w:p>
    <w:p w14:paraId="67D558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1.竞买人需符合《</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w:t>
      </w:r>
      <w:r>
        <w:rPr>
          <w:rFonts w:hint="eastAsia" w:ascii="方正仿宋简体" w:hAnsi="方正仿宋简体" w:eastAsia="方正仿宋简体" w:cs="方正仿宋简体"/>
          <w:color w:val="000000" w:themeColor="text1"/>
          <w:sz w:val="32"/>
          <w:szCs w:val="32"/>
          <w14:textFill>
            <w14:solidFill>
              <w14:schemeClr w14:val="tx1"/>
            </w14:solidFill>
          </w14:textFill>
        </w:rPr>
        <w:t>资源局国有土地使用权挂牌出让公告》中明确的资格要求，境内外自然人、法人和其他组织（法律法规禁止参与的除外）均可申请，失信被执行人、涉土违法违规受限主体不得参与。</w:t>
      </w:r>
    </w:p>
    <w:p w14:paraId="21B763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2.联合竞买需提交书面联合协议，明确主竞买人、各方出资比例、权利义务及利益分配方式，联合竞买各方均需符合资格要求。</w:t>
      </w:r>
    </w:p>
    <w:p w14:paraId="71D31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3.竞买人提交的申请材料（营业执照、身份证明</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（法人、自然人、委托代理人、委托书</w:t>
      </w:r>
      <w:r>
        <w:rPr>
          <w:rFonts w:hint="eastAsia" w:ascii="方正仿宋简体" w:hAnsi="方正仿宋简体" w:eastAsia="方正仿宋简体" w:cs="方正仿宋简体"/>
          <w:color w:val="000000" w:themeColor="text1"/>
          <w:sz w:val="32"/>
          <w:szCs w:val="32"/>
          <w14:textFill>
            <w14:solidFill>
              <w14:schemeClr w14:val="tx1"/>
            </w14:solidFill>
          </w14:textFill>
        </w:rPr>
        <w:t>、资</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信</w:t>
      </w:r>
      <w:r>
        <w:rPr>
          <w:rFonts w:hint="eastAsia" w:ascii="方正仿宋简体" w:hAnsi="方正仿宋简体" w:eastAsia="方正仿宋简体" w:cs="方正仿宋简体"/>
          <w:color w:val="000000" w:themeColor="text1"/>
          <w:sz w:val="32"/>
          <w:szCs w:val="32"/>
          <w14:textFill>
            <w14:solidFill>
              <w14:schemeClr w14:val="tx1"/>
            </w14:solidFill>
          </w14:textFill>
        </w:rPr>
        <w:t>证明、</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企业信用报告</w:t>
      </w:r>
      <w:r>
        <w:rPr>
          <w:rFonts w:hint="eastAsia" w:ascii="方正仿宋简体" w:hAnsi="方正仿宋简体" w:eastAsia="方正仿宋简体" w:cs="方正仿宋简体"/>
          <w:color w:val="000000" w:themeColor="text1"/>
          <w:sz w:val="32"/>
          <w:szCs w:val="32"/>
          <w14:textFill>
            <w14:solidFill>
              <w14:schemeClr w14:val="tx1"/>
            </w14:solidFill>
          </w14:textFill>
        </w:rPr>
        <w:t>无违法违规记录承诺书等）需真实、合法、有效，若存在虚假材料，将取消竞买资格，已缴纳的竞买保证金不予退还。</w:t>
      </w:r>
    </w:p>
    <w:p w14:paraId="3E9B4C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4.资格审查由</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伊犁州</w:t>
      </w:r>
      <w:r>
        <w:rPr>
          <w:rFonts w:hint="eastAsia" w:ascii="方正仿宋简体" w:hAnsi="方正仿宋简体" w:eastAsia="方正仿宋简体" w:cs="方正仿宋简体"/>
          <w:color w:val="000000" w:themeColor="text1"/>
          <w:sz w:val="32"/>
          <w:szCs w:val="32"/>
          <w14:textFill>
            <w14:solidFill>
              <w14:schemeClr w14:val="tx1"/>
            </w14:solidFill>
          </w14:textFill>
        </w:rPr>
        <w:t>公共资源交易中心会同</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14:textFill>
            <w14:solidFill>
              <w14:schemeClr w14:val="tx1"/>
            </w14:solidFill>
          </w14:textFill>
        </w:rPr>
        <w:t>自然资源局共同完成，审查结果以《竞买资格确认书》为准，审查不合格者不得参与竞价。</w:t>
      </w:r>
    </w:p>
    <w:p w14:paraId="2181CB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二、出让文件获取与地块踏勘 </w:t>
      </w:r>
    </w:p>
    <w:p w14:paraId="58EE77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1.竞买人可自</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20</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7</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9</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日至20</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7</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28</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日</w:t>
      </w:r>
      <w:r>
        <w:rPr>
          <w:rFonts w:hint="eastAsia" w:ascii="方正仿宋简体" w:hAnsi="方正仿宋简体" w:eastAsia="方正仿宋简体" w:cs="方正仿宋简体"/>
          <w:color w:val="000000" w:themeColor="text1"/>
          <w:sz w:val="32"/>
          <w:szCs w:val="32"/>
          <w14:textFill>
            <w14:solidFill>
              <w14:schemeClr w14:val="tx1"/>
            </w14:solidFill>
          </w14:textFill>
        </w:rPr>
        <w:t>，通过</w:t>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伊犁州公共资源电子交易系统（网址：</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begin"/>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separate"/>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http://218.84.46.136:81/)</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end"/>
      </w:r>
      <w:r>
        <w:rPr>
          <w:rFonts w:hint="eastAsia" w:ascii="方正仿宋简体" w:hAnsi="方正仿宋简体" w:eastAsia="方正仿宋简体" w:cs="方正仿宋简体"/>
          <w:color w:val="000000" w:themeColor="text1"/>
          <w:sz w:val="32"/>
          <w:szCs w:val="32"/>
          <w14:textFill>
            <w14:solidFill>
              <w14:schemeClr w14:val="tx1"/>
            </w14:solidFill>
          </w14:textFill>
        </w:rPr>
        <w:t>下载</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挂牌出让</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相关资料。</w:t>
      </w:r>
    </w:p>
    <w:p w14:paraId="0F6176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买人应在申请前自行对出让地块的位置、四至、面积、地形地貌、地质条件、周边环境、规划要求等进行实地踏勘，充分了解地块现状及潜在风险。出让方不承担地块瑕疵担保责任，竞买人参与竞买即视为已认可地块现状及所有出让条件。</w:t>
      </w:r>
    </w:p>
    <w:p w14:paraId="2AA547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三、竞买申请与保证金缴纳</w:t>
      </w:r>
    </w:p>
    <w:p w14:paraId="6033F8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1.竞买人需在</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20</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7</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28</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日</w:t>
      </w:r>
      <w:r>
        <w:rPr>
          <w:rFonts w:hint="eastAsia" w:ascii="方正仿宋简体" w:hAnsi="方正仿宋简体" w:eastAsia="方正仿宋简体" w:cs="方正仿宋简体"/>
          <w:color w:val="000000" w:themeColor="text1"/>
          <w:sz w:val="32"/>
          <w:szCs w:val="32"/>
          <w14:textFill>
            <w14:solidFill>
              <w14:schemeClr w14:val="tx1"/>
            </w14:solidFill>
          </w14:textFill>
        </w:rPr>
        <w:t>前，</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在</w:t>
      </w:r>
      <w:r>
        <w:rPr>
          <w:rFonts w:hint="eastAsia" w:ascii="方正仿宋简体" w:hAnsi="方正仿宋简体" w:eastAsia="方正仿宋简体" w:cs="方正仿宋简体"/>
          <w:color w:val="000000" w:themeColor="text1"/>
          <w:sz w:val="32"/>
          <w:szCs w:val="32"/>
          <w14:textFill>
            <w14:solidFill>
              <w14:schemeClr w14:val="tx1"/>
            </w14:solidFill>
          </w14:textFill>
        </w:rPr>
        <w:t>交易</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平台</w:t>
      </w:r>
      <w:r>
        <w:rPr>
          <w:rFonts w:hint="eastAsia" w:ascii="方正仿宋简体" w:hAnsi="方正仿宋简体" w:eastAsia="方正仿宋简体" w:cs="方正仿宋简体"/>
          <w:color w:val="000000" w:themeColor="text1"/>
          <w:sz w:val="32"/>
          <w:szCs w:val="32"/>
          <w14:textFill>
            <w14:solidFill>
              <w14:schemeClr w14:val="tx1"/>
            </w14:solidFill>
          </w14:textFill>
        </w:rPr>
        <w:t>提交《竞买申请书》及相关</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报名</w:t>
      </w:r>
      <w:r>
        <w:rPr>
          <w:rFonts w:hint="eastAsia" w:ascii="方正仿宋简体" w:hAnsi="方正仿宋简体" w:eastAsia="方正仿宋简体" w:cs="方正仿宋简体"/>
          <w:color w:val="000000" w:themeColor="text1"/>
          <w:sz w:val="32"/>
          <w:szCs w:val="32"/>
          <w14:textFill>
            <w14:solidFill>
              <w14:schemeClr w14:val="tx1"/>
            </w14:solidFill>
          </w14:textFill>
        </w:rPr>
        <w:t>材料，逾期提交视为无效申请。</w:t>
      </w:r>
    </w:p>
    <w:p w14:paraId="2951DD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2.竞买保证金缴纳标准按《</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w:t>
      </w:r>
      <w:r>
        <w:rPr>
          <w:rFonts w:hint="eastAsia" w:ascii="方正仿宋简体" w:hAnsi="方正仿宋简体" w:eastAsia="方正仿宋简体" w:cs="方正仿宋简体"/>
          <w:color w:val="000000" w:themeColor="text1"/>
          <w:sz w:val="32"/>
          <w:szCs w:val="32"/>
          <w14:textFill>
            <w14:solidFill>
              <w14:schemeClr w14:val="tx1"/>
            </w14:solidFill>
          </w14:textFill>
        </w:rPr>
        <w:t>资源局国有土地使用权挂牌出让公告》执行，竞买人需在</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2026年8月5日京时18时</w:t>
      </w:r>
      <w:r>
        <w:rPr>
          <w:rFonts w:hint="eastAsia" w:ascii="方正仿宋简体" w:hAnsi="方正仿宋简体" w:eastAsia="方正仿宋简体" w:cs="方正仿宋简体"/>
          <w:color w:val="000000" w:themeColor="text1"/>
          <w:sz w:val="32"/>
          <w:szCs w:val="32"/>
          <w14:textFill>
            <w14:solidFill>
              <w14:schemeClr w14:val="tx1"/>
            </w14:solidFill>
          </w14:textFill>
        </w:rPr>
        <w:t>前将保证金足额</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交</w:t>
      </w:r>
      <w:r>
        <w:rPr>
          <w:rFonts w:hint="eastAsia" w:ascii="方正仿宋简体" w:hAnsi="方正仿宋简体" w:eastAsia="方正仿宋简体" w:cs="方正仿宋简体"/>
          <w:color w:val="000000" w:themeColor="text1"/>
          <w:sz w:val="32"/>
          <w:szCs w:val="32"/>
          <w14:textFill>
            <w14:solidFill>
              <w14:schemeClr w14:val="tx1"/>
            </w14:solidFill>
          </w14:textFill>
        </w:rPr>
        <w:t>至指定账户（账户名称：</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交易平台自动生成的建设银行虚拟子账户</w:t>
      </w:r>
      <w:r>
        <w:rPr>
          <w:rFonts w:hint="eastAsia" w:ascii="方正仿宋简体" w:hAnsi="方正仿宋简体" w:eastAsia="方正仿宋简体" w:cs="方正仿宋简体"/>
          <w:color w:val="000000" w:themeColor="text1"/>
          <w:sz w:val="32"/>
          <w:szCs w:val="32"/>
          <w14:textFill>
            <w14:solidFill>
              <w14:schemeClr w14:val="tx1"/>
            </w14:solidFill>
          </w14:textFill>
        </w:rPr>
        <w:t>），保证金以银行到账时间为准，逾期未到账的视为未完成申请。</w:t>
      </w:r>
    </w:p>
    <w:p w14:paraId="0FB799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3.保证金缴纳后，竞买人需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将</w:t>
      </w:r>
      <w:r>
        <w:rPr>
          <w:rFonts w:hint="eastAsia" w:ascii="方正仿宋简体" w:hAnsi="方正仿宋简体" w:eastAsia="方正仿宋简体" w:cs="方正仿宋简体"/>
          <w:color w:val="000000" w:themeColor="text1"/>
          <w:sz w:val="32"/>
          <w:szCs w:val="32"/>
          <w14:textFill>
            <w14:solidFill>
              <w14:schemeClr w14:val="tx1"/>
            </w14:solidFill>
          </w14:textFill>
        </w:rPr>
        <w:t>银行转账凭证</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复印件交至州公共资源</w:t>
      </w:r>
      <w:r>
        <w:rPr>
          <w:rFonts w:hint="eastAsia" w:ascii="方正仿宋简体" w:hAnsi="方正仿宋简体" w:eastAsia="方正仿宋简体" w:cs="方正仿宋简体"/>
          <w:color w:val="000000" w:themeColor="text1"/>
          <w:sz w:val="32"/>
          <w:szCs w:val="32"/>
          <w14:textFill>
            <w14:solidFill>
              <w14:schemeClr w14:val="tx1"/>
            </w14:solidFill>
          </w14:textFill>
        </w:rPr>
        <w:t>交易中心，未按规定缴纳保证金的，不得取得竞买资格。</w:t>
      </w:r>
    </w:p>
    <w:p w14:paraId="6C279D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4.未竞得人的竞买保证金，将在挂牌结束后</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3</w:t>
      </w:r>
      <w:r>
        <w:rPr>
          <w:rFonts w:hint="eastAsia" w:ascii="方正仿宋简体" w:hAnsi="方正仿宋简体" w:eastAsia="方正仿宋简体" w:cs="方正仿宋简体"/>
          <w:color w:val="000000" w:themeColor="text1"/>
          <w:sz w:val="32"/>
          <w:szCs w:val="32"/>
          <w14:textFill>
            <w14:solidFill>
              <w14:schemeClr w14:val="tx1"/>
            </w14:solidFill>
          </w14:textFill>
        </w:rPr>
        <w:t>个工作日内无息退还；竞得人的保证金自动转为</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成交价款</w:t>
      </w:r>
      <w:r>
        <w:rPr>
          <w:rFonts w:hint="eastAsia" w:ascii="方正仿宋简体" w:hAnsi="方正仿宋简体" w:eastAsia="方正仿宋简体" w:cs="方正仿宋简体"/>
          <w:color w:val="000000" w:themeColor="text1"/>
          <w:sz w:val="32"/>
          <w:szCs w:val="32"/>
          <w14:textFill>
            <w14:solidFill>
              <w14:schemeClr w14:val="tx1"/>
            </w14:solidFill>
          </w14:textFill>
        </w:rPr>
        <w:t>。</w:t>
      </w:r>
    </w:p>
    <w:p w14:paraId="15A5F0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四、挂牌竞价规则</w:t>
      </w:r>
    </w:p>
    <w:p w14:paraId="762EDC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1.挂牌竞价时间为20</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7</w:t>
      </w:r>
      <w:r>
        <w:rPr>
          <w:rFonts w:hint="eastAsia" w:ascii="方正仿宋简体" w:hAnsi="方正仿宋简体" w:eastAsia="方正仿宋简体" w:cs="方正仿宋简体"/>
          <w:color w:val="000000" w:themeColor="text1"/>
          <w:sz w:val="32"/>
          <w:szCs w:val="32"/>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29</w:t>
      </w:r>
      <w:r>
        <w:rPr>
          <w:rFonts w:hint="eastAsia" w:ascii="方正仿宋简体" w:hAnsi="方正仿宋简体" w:eastAsia="方正仿宋简体" w:cs="方正仿宋简体"/>
          <w:color w:val="000000" w:themeColor="text1"/>
          <w:sz w:val="32"/>
          <w:szCs w:val="32"/>
          <w14:textFill>
            <w14:solidFill>
              <w14:schemeClr w14:val="tx1"/>
            </w14:solidFill>
          </w14:textFill>
        </w:rPr>
        <w:t>日至20</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8</w:t>
      </w:r>
      <w:r>
        <w:rPr>
          <w:rFonts w:hint="eastAsia" w:ascii="方正仿宋简体" w:hAnsi="方正仿宋简体" w:eastAsia="方正仿宋简体" w:cs="方正仿宋简体"/>
          <w:color w:val="000000" w:themeColor="text1"/>
          <w:sz w:val="32"/>
          <w:szCs w:val="32"/>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7</w:t>
      </w:r>
      <w:r>
        <w:rPr>
          <w:rFonts w:hint="eastAsia" w:ascii="方正仿宋简体" w:hAnsi="方正仿宋简体" w:eastAsia="方正仿宋简体" w:cs="方正仿宋简体"/>
          <w:color w:val="000000" w:themeColor="text1"/>
          <w:sz w:val="32"/>
          <w:szCs w:val="32"/>
          <w14:textFill>
            <w14:solidFill>
              <w14:schemeClr w14:val="tx1"/>
            </w14:solidFill>
          </w14:textFill>
        </w:rPr>
        <w:t>日，竞价通过</w:t>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伊犁州公共资源电子交易系（网址：</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begin"/>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separate"/>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http://218.84.46.136:81/)</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end"/>
      </w:r>
      <w:r>
        <w:rPr>
          <w:rFonts w:hint="eastAsia" w:ascii="方正仿宋简体" w:hAnsi="方正仿宋简体" w:eastAsia="方正仿宋简体" w:cs="方正仿宋简体"/>
          <w:color w:val="000000" w:themeColor="text1"/>
          <w:sz w:val="32"/>
          <w:szCs w:val="32"/>
          <w14:textFill>
            <w14:solidFill>
              <w14:schemeClr w14:val="tx1"/>
            </w14:solidFill>
          </w14:textFill>
        </w:rPr>
        <w:t>进行，以电子平台竞价为准。</w:t>
      </w:r>
    </w:p>
    <w:p w14:paraId="0FFE51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2.竞价起始价、增价幅度按《</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w:t>
      </w:r>
      <w:r>
        <w:rPr>
          <w:rFonts w:hint="eastAsia" w:ascii="方正仿宋简体" w:hAnsi="方正仿宋简体" w:eastAsia="方正仿宋简体" w:cs="方正仿宋简体"/>
          <w:color w:val="000000" w:themeColor="text1"/>
          <w:sz w:val="32"/>
          <w:szCs w:val="32"/>
          <w14:textFill>
            <w14:solidFill>
              <w14:schemeClr w14:val="tx1"/>
            </w14:solidFill>
          </w14:textFill>
        </w:rPr>
        <w:t>资源局国有土地使用权挂牌出让公告》执行，竞买人首次报价不得低于起始价，后续报价需高于当前最高报价且符合增价幅度（可按增价幅度整数倍加价</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Style w:val="6"/>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加价幅度为可变步长，按照竞价金额进行调整）</w:t>
      </w:r>
      <w:r>
        <w:rPr>
          <w:rFonts w:hint="eastAsia" w:ascii="方正仿宋简体" w:hAnsi="方正仿宋简体" w:eastAsia="方正仿宋简体" w:cs="方正仿宋简体"/>
          <w:color w:val="000000" w:themeColor="text1"/>
          <w:sz w:val="32"/>
          <w:szCs w:val="32"/>
          <w14:textFill>
            <w14:solidFill>
              <w14:schemeClr w14:val="tx1"/>
            </w14:solidFill>
          </w14:textFill>
        </w:rPr>
        <w:t>），报价一经确认不得撤回。</w:t>
      </w:r>
    </w:p>
    <w:p w14:paraId="652123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w:t>
      </w:r>
      <w:r>
        <w:rPr>
          <w:rStyle w:val="6"/>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参与限时竞价的，则在网上限时竞价询问期</w:t>
      </w:r>
      <w:r>
        <w:rPr>
          <w:rStyle w:val="6"/>
          <w:rFonts w:hint="eastAsia" w:ascii="方正仿宋简体" w:hAnsi="方正仿宋简体" w:eastAsia="方正仿宋简体" w:cs="方正仿宋简体"/>
          <w:color w:val="FF0000"/>
          <w:kern w:val="0"/>
          <w:sz w:val="32"/>
          <w:szCs w:val="32"/>
          <w:lang w:val="en-US" w:eastAsia="zh-CN"/>
        </w:rPr>
        <w:t>（10分钟）</w:t>
      </w:r>
      <w:r>
        <w:rPr>
          <w:rStyle w:val="6"/>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截止时系统进入限时竞价阶段。网上限时竞价开始后，交易系统以90秒倒计时为竞价时限，如在90秒倒计时内有新的报价，网上交易系统即从接受新的报价起再顺延90秒</w:t>
      </w:r>
      <w:r>
        <w:rPr>
          <w:rFonts w:hint="eastAsia" w:ascii="方正仿宋简体" w:hAnsi="方正仿宋简体" w:eastAsia="方正仿宋简体" w:cs="方正仿宋简体"/>
          <w:color w:val="000000" w:themeColor="text1"/>
          <w:sz w:val="32"/>
          <w:szCs w:val="32"/>
          <w14:textFill>
            <w14:solidFill>
              <w14:schemeClr w14:val="tx1"/>
            </w14:solidFill>
          </w14:textFill>
        </w:rPr>
        <w:t>，直至无人再报价为止（即“限时竞价”规则）。</w:t>
      </w:r>
    </w:p>
    <w:p w14:paraId="6147B8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4.挂牌截止时，最高有效报价者为竞得人。</w:t>
      </w:r>
    </w:p>
    <w:p w14:paraId="0CACD8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五、成交确认与合同签订</w:t>
      </w:r>
    </w:p>
    <w:p w14:paraId="667795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1.挂牌结束后，交易中心将出具《挂牌成交确认书》，</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然后进行10天</w:t>
      </w:r>
      <w:r>
        <w:rPr>
          <w:rFonts w:hint="eastAsia" w:ascii="方正仿宋简体" w:hAnsi="方正仿宋简体" w:eastAsia="方正仿宋简体" w:cs="方正仿宋简体"/>
          <w:color w:val="000000" w:themeColor="text1"/>
          <w:sz w:val="32"/>
          <w:szCs w:val="32"/>
          <w14:textFill>
            <w14:solidFill>
              <w14:schemeClr w14:val="tx1"/>
            </w14:solidFill>
          </w14:textFill>
        </w:rPr>
        <w:t>公示</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14:paraId="643BD3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2.竞得人需在</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取得</w:t>
      </w:r>
      <w:r>
        <w:rPr>
          <w:rFonts w:hint="eastAsia" w:ascii="方正仿宋简体" w:hAnsi="方正仿宋简体" w:eastAsia="方正仿宋简体" w:cs="方正仿宋简体"/>
          <w:color w:val="000000" w:themeColor="text1"/>
          <w:sz w:val="32"/>
          <w:szCs w:val="32"/>
          <w14:textFill>
            <w14:solidFill>
              <w14:schemeClr w14:val="tx1"/>
            </w14:solidFill>
          </w14:textFill>
        </w:rPr>
        <w:t>《挂牌成交确认书》</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且公示期无异议后，</w:t>
      </w:r>
      <w:r>
        <w:rPr>
          <w:rFonts w:hint="eastAsia" w:ascii="方正仿宋简体" w:hAnsi="方正仿宋简体" w:eastAsia="方正仿宋简体" w:cs="方正仿宋简体"/>
          <w:color w:val="000000" w:themeColor="text1"/>
          <w:sz w:val="32"/>
          <w:szCs w:val="32"/>
          <w14:textFill>
            <w14:solidFill>
              <w14:schemeClr w14:val="tx1"/>
            </w14:solidFill>
          </w14:textFill>
        </w:rPr>
        <w:t>与自然资源局签订《国有建设用地使用权出让合同》，逾期未签订的，视为自动放弃竞得资格，竞买保证金不予退还</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如不可抗力的自然因素除外</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，出让方有权重新出让该地块。</w:t>
      </w:r>
    </w:p>
    <w:p w14:paraId="61E484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3.竞得人如需委托他人签订合同，需出具经公证的授权委托书及受托人身份证明，否则不得代签。</w:t>
      </w:r>
    </w:p>
    <w:p w14:paraId="62A8C8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六、价款与税费缴纳</w:t>
      </w:r>
    </w:p>
    <w:p w14:paraId="4CA076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1.成交价款缴纳</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应当严格按照</w:t>
      </w:r>
      <w:r>
        <w:rPr>
          <w:rFonts w:hint="eastAsia" w:ascii="方正仿宋简体" w:hAnsi="方正仿宋简体" w:eastAsia="方正仿宋简体" w:cs="方正仿宋简体"/>
          <w:color w:val="000000" w:themeColor="text1"/>
          <w:sz w:val="32"/>
          <w:szCs w:val="32"/>
          <w14:textFill>
            <w14:solidFill>
              <w14:schemeClr w14:val="tx1"/>
            </w14:solidFill>
          </w14:textFill>
        </w:rPr>
        <w:t>《出让合同》约定执行。</w:t>
      </w:r>
    </w:p>
    <w:p w14:paraId="342445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2.竞得人需按国家及地方相关规定，自行缴纳契税、印花税、耕地占用税等相关税费，税费缴纳完毕后方可办理不动产权登记。</w:t>
      </w:r>
    </w:p>
    <w:p w14:paraId="15FDB2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七、开发建设要求</w:t>
      </w:r>
    </w:p>
    <w:p w14:paraId="44B735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1.竞得人需严格按照《出让合同》约定及规划条件进行开发建设，容积率、建筑密度、绿地率、建筑限高、用途等规划指标不得擅自变更，确需变更的，需按规定报相关部门批准。</w:t>
      </w:r>
    </w:p>
    <w:p w14:paraId="61A49229">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动工、竣工期限按《出让合同》约定执行，</w:t>
      </w:r>
      <w:r>
        <w:rPr>
          <w:rFonts w:hint="eastAsia" w:ascii="方正仿宋简体" w:hAnsi="方正仿宋简体" w:eastAsia="方正仿宋简体" w:cs="方正仿宋简体"/>
          <w:color w:val="000000" w:themeColor="text1"/>
          <w:sz w:val="32"/>
          <w:szCs w:val="32"/>
          <w14:textFill>
            <w14:solidFill>
              <w14:schemeClr w14:val="tx1"/>
            </w14:solidFill>
          </w14:textFill>
        </w:rPr>
        <w:t>竞</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得人需在动工期限内开工建设，在竣工期限内完成项目建设并申请竣工验收，逾期将按合同约定收取违约金，情节严重的，出让方有权收回土地使用权。</w:t>
      </w:r>
    </w:p>
    <w:p w14:paraId="56F144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3.地块开发建设需遵守国家环保、安全、消防等相关规定，落实生态保护、耕地保护等要求，不得从事违法违规建设活动。</w:t>
      </w:r>
    </w:p>
    <w:p w14:paraId="3BFBED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八、违约责任与争议解决</w:t>
      </w:r>
    </w:p>
    <w:p w14:paraId="58BC29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1.竞买人存在提供虚假材料、恶意串通、违规竞价等违法违规行为的，取消竞买资格或成交结果，竞买保证金不予退还；造成损失的，需承担相应赔偿责任。</w:t>
      </w:r>
    </w:p>
    <w:p w14:paraId="21310D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2.竞得人未按规定签订合同、缴纳价款或擅自改变土地用途、违反规划指标开发建设的，出让方有权解除合同、收回土地，已缴款项不予退还，并追究其违约责任。</w:t>
      </w:r>
    </w:p>
    <w:p w14:paraId="73851E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九、其他事项</w:t>
      </w:r>
    </w:p>
    <w:p w14:paraId="568C2E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1.本次挂牌出让的所有时间节点均以交易中心电子平台或现场公示的时间为准，因不可抗力、系统故障等特殊情况需调整时间的，将提前发布补充公告。</w:t>
      </w:r>
    </w:p>
    <w:p w14:paraId="6B4BA8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2.出让</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资料</w:t>
      </w:r>
      <w:r>
        <w:rPr>
          <w:rFonts w:hint="eastAsia" w:ascii="方正仿宋简体" w:hAnsi="方正仿宋简体" w:eastAsia="方正仿宋简体" w:cs="方正仿宋简体"/>
          <w:color w:val="000000" w:themeColor="text1"/>
          <w:sz w:val="32"/>
          <w:szCs w:val="32"/>
          <w14:textFill>
            <w14:solidFill>
              <w14:schemeClr w14:val="tx1"/>
            </w14:solidFill>
          </w14:textFill>
        </w:rPr>
        <w:t>（含公告、须知、答疑、补充</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资料</w:t>
      </w:r>
      <w:r>
        <w:rPr>
          <w:rFonts w:hint="eastAsia" w:ascii="方正仿宋简体" w:hAnsi="方正仿宋简体" w:eastAsia="方正仿宋简体" w:cs="方正仿宋简体"/>
          <w:color w:val="000000" w:themeColor="text1"/>
          <w:sz w:val="32"/>
          <w:szCs w:val="32"/>
          <w14:textFill>
            <w14:solidFill>
              <w14:schemeClr w14:val="tx1"/>
            </w14:solidFill>
          </w14:textFill>
        </w:rPr>
        <w:t>等）互为补充，具有同等法律效力，若存在不一致之处，以发布时间在后的文件为准。</w:t>
      </w:r>
    </w:p>
    <w:p w14:paraId="4CDE91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3.竞买人应妥善保管电子竞价账号及密码，因账号泄露、密码丢失导致的竞价损失，由竞买人自行承担。</w:t>
      </w:r>
    </w:p>
    <w:p w14:paraId="6387B5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4.本须知由</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伊犁州</w:t>
      </w:r>
      <w:r>
        <w:rPr>
          <w:rFonts w:hint="eastAsia" w:ascii="方正仿宋简体" w:hAnsi="方正仿宋简体" w:eastAsia="方正仿宋简体" w:cs="方正仿宋简体"/>
          <w:color w:val="000000" w:themeColor="text1"/>
          <w:sz w:val="32"/>
          <w:szCs w:val="32"/>
          <w14:textFill>
            <w14:solidFill>
              <w14:schemeClr w14:val="tx1"/>
            </w14:solidFill>
          </w14:textFill>
        </w:rPr>
        <w:t>公共资源交易</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中心和特克斯县</w:t>
      </w:r>
      <w:r>
        <w:rPr>
          <w:rFonts w:hint="eastAsia" w:ascii="方正仿宋简体" w:hAnsi="方正仿宋简体" w:eastAsia="方正仿宋简体" w:cs="方正仿宋简体"/>
          <w:color w:val="000000" w:themeColor="text1"/>
          <w:sz w:val="32"/>
          <w:szCs w:val="32"/>
          <w14:textFill>
            <w14:solidFill>
              <w14:schemeClr w14:val="tx1"/>
            </w14:solidFill>
          </w14:textFill>
        </w:rPr>
        <w:t>自然资源局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共同</w:t>
      </w:r>
      <w:r>
        <w:rPr>
          <w:rFonts w:hint="eastAsia" w:ascii="方正仿宋简体" w:hAnsi="方正仿宋简体" w:eastAsia="方正仿宋简体" w:cs="方正仿宋简体"/>
          <w:color w:val="000000" w:themeColor="text1"/>
          <w:sz w:val="32"/>
          <w:szCs w:val="32"/>
          <w14:textFill>
            <w14:solidFill>
              <w14:schemeClr w14:val="tx1"/>
            </w14:solidFill>
          </w14:textFill>
        </w:rPr>
        <w:t>解释。</w:t>
      </w:r>
    </w:p>
    <w:p w14:paraId="304FE0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p>
    <w:p w14:paraId="6A044F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联系单位：</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自然资源局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    伊犁州公共资源交易中心</w:t>
      </w:r>
    </w:p>
    <w:p w14:paraId="496E2B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联 系 人：</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汪</w:t>
      </w: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女士      </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               张娜</w:t>
      </w:r>
    </w:p>
    <w:p w14:paraId="19F8D4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联系电话：</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18197938922</w:t>
      </w: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           15199997743</w:t>
      </w:r>
    </w:p>
    <w:p w14:paraId="0189EC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交易平台网址：</w:t>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http://218.84.46.136:81/</w:t>
      </w:r>
    </w:p>
    <w:p w14:paraId="680AA7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地址：</w:t>
      </w:r>
      <w:r>
        <w:rPr>
          <w:rFonts w:hint="eastAsia" w:ascii="方正仿宋简体" w:hAnsi="方正仿宋简体" w:eastAsia="方正仿宋简体" w:cs="方正仿宋简体"/>
          <w:bCs/>
          <w:color w:val="000000" w:themeColor="text1"/>
          <w:kern w:val="0"/>
          <w:sz w:val="32"/>
          <w:szCs w:val="32"/>
          <w:lang w:bidi="ar"/>
          <w14:textFill>
            <w14:solidFill>
              <w14:schemeClr w14:val="tx1"/>
            </w14:solidFill>
          </w14:textFill>
        </w:rPr>
        <w:t>伊宁市边合区广东</w:t>
      </w:r>
      <w:r>
        <w:rPr>
          <w:rFonts w:hint="eastAsia" w:ascii="方正仿宋简体" w:hAnsi="方正仿宋简体" w:eastAsia="方正仿宋简体" w:cs="方正仿宋简体"/>
          <w:bCs/>
          <w:color w:val="000000" w:themeColor="text1"/>
          <w:kern w:val="0"/>
          <w:sz w:val="32"/>
          <w:szCs w:val="32"/>
          <w:lang w:val="en-US" w:eastAsia="zh-CN" w:bidi="ar"/>
          <w14:textFill>
            <w14:solidFill>
              <w14:schemeClr w14:val="tx1"/>
            </w14:solidFill>
          </w14:textFill>
        </w:rPr>
        <w:t>路</w:t>
      </w:r>
      <w:r>
        <w:rPr>
          <w:rFonts w:hint="eastAsia" w:ascii="方正仿宋简体" w:hAnsi="方正仿宋简体" w:eastAsia="方正仿宋简体" w:cs="方正仿宋简体"/>
          <w:bCs/>
          <w:color w:val="000000" w:themeColor="text1"/>
          <w:kern w:val="0"/>
          <w:sz w:val="32"/>
          <w:szCs w:val="32"/>
          <w:lang w:bidi="ar"/>
          <w14:textFill>
            <w14:solidFill>
              <w14:schemeClr w14:val="tx1"/>
            </w14:solidFill>
          </w14:textFill>
        </w:rPr>
        <w:t>52号四楼</w:t>
      </w:r>
    </w:p>
    <w:p w14:paraId="46C08A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 </w:t>
      </w:r>
    </w:p>
    <w:p w14:paraId="420A2B52">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2026年7月9日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2010601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9116B"/>
    <w:rsid w:val="02AF35D9"/>
    <w:rsid w:val="06B3536E"/>
    <w:rsid w:val="0DE8795A"/>
    <w:rsid w:val="0E683122"/>
    <w:rsid w:val="123F4AB4"/>
    <w:rsid w:val="12CF001D"/>
    <w:rsid w:val="15BC3736"/>
    <w:rsid w:val="16E9116B"/>
    <w:rsid w:val="1C1E70AE"/>
    <w:rsid w:val="1D8513D1"/>
    <w:rsid w:val="1D907689"/>
    <w:rsid w:val="22A5210D"/>
    <w:rsid w:val="24F828F7"/>
    <w:rsid w:val="258F007C"/>
    <w:rsid w:val="2887704D"/>
    <w:rsid w:val="28FE3988"/>
    <w:rsid w:val="2C0B0DBF"/>
    <w:rsid w:val="2E6F7274"/>
    <w:rsid w:val="303E7002"/>
    <w:rsid w:val="3438143E"/>
    <w:rsid w:val="35520390"/>
    <w:rsid w:val="35533BE7"/>
    <w:rsid w:val="366B16B6"/>
    <w:rsid w:val="3B12055A"/>
    <w:rsid w:val="401E32E5"/>
    <w:rsid w:val="40C57518"/>
    <w:rsid w:val="42512946"/>
    <w:rsid w:val="43FB3DBF"/>
    <w:rsid w:val="46D56269"/>
    <w:rsid w:val="4C1A4723"/>
    <w:rsid w:val="4CCE2E6D"/>
    <w:rsid w:val="4DC50A07"/>
    <w:rsid w:val="4E992277"/>
    <w:rsid w:val="5197617F"/>
    <w:rsid w:val="52F83A10"/>
    <w:rsid w:val="55E3217E"/>
    <w:rsid w:val="58410767"/>
    <w:rsid w:val="5B5D6641"/>
    <w:rsid w:val="5C563555"/>
    <w:rsid w:val="5DDB01B6"/>
    <w:rsid w:val="668018D0"/>
    <w:rsid w:val="692B2E87"/>
    <w:rsid w:val="6A6B74A1"/>
    <w:rsid w:val="6BA0234D"/>
    <w:rsid w:val="714025F2"/>
    <w:rsid w:val="76E8442E"/>
    <w:rsid w:val="78397B5B"/>
    <w:rsid w:val="78D90A96"/>
    <w:rsid w:val="7ADDBD13"/>
    <w:rsid w:val="7B2B6A6E"/>
    <w:rsid w:val="EEDFD8B5"/>
    <w:rsid w:val="FDD7A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2" w:leftChars="1" w:firstLine="640" w:firstLineChars="200"/>
    </w:pPr>
    <w:rPr>
      <w:rFonts w:eastAsia="仿宋_GB2312"/>
      <w:sz w:val="32"/>
    </w:rPr>
  </w:style>
  <w:style w:type="character" w:customStyle="1" w:styleId="6">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2213</Words>
  <Characters>2377</Characters>
  <Lines>0</Lines>
  <Paragraphs>0</Paragraphs>
  <TotalTime>134</TotalTime>
  <ScaleCrop>false</ScaleCrop>
  <LinksUpToDate>false</LinksUpToDate>
  <CharactersWithSpaces>2419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2025-11-20T16:15:00Z</dcterms:created>
  <dc:creator>Q</dc:creator>
  <cp:lastModifiedBy>user</cp:lastModifiedBy>
  <cp:lastPrinted>2026-07-09T17:23:22Z</cp:lastPrinted>
  <dcterms:modified xsi:type="dcterms:W3CDTF">2026-07-09T18:14:15Z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428B1553FEA94B34AB551B69FF3B0244_13</vt:lpwstr>
  </property>
  <property fmtid="{D5CDD505-2E9C-101B-9397-08002B2CF9AE}" pid="4" name="KSOTemplateDocerSaveRecord">
    <vt:lpwstr>eyJoZGlkIjoiNjRlNDBmM2IzNzM2ZGNhNDgwNDMzNzE0NjE3ZDNlNmEiLCJ1c2VySWQiOiIyODc1MTg4NjcifQ==</vt:lpwstr>
  </property>
</Properties>
</file>