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xml:space="preserve">29.240.01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F 20</w:t>
            </w:r>
            <w:r>
              <w:rPr>
                <w:rFonts w:ascii="黑体" w:hAnsi="黑体" w:eastAsia="黑体"/>
                <w:sz w:val="21"/>
                <w:szCs w:val="21"/>
              </w:rPr>
              <w:fldChar w:fldCharType="end"/>
            </w:r>
            <w:bookmarkEnd w:id="1"/>
          </w:p>
        </w:tc>
      </w:tr>
    </w:tbl>
    <w:tbl>
      <w:tblPr>
        <w:tblStyle w:val="33"/>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6540</w:t>
            </w:r>
            <w:r>
              <w:fldChar w:fldCharType="end"/>
            </w:r>
            <w:bookmarkEnd w:id="3"/>
          </w:p>
        </w:tc>
      </w:tr>
    </w:tbl>
    <w:p>
      <w:pPr>
        <w:pStyle w:val="5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伊犁哈萨克自治州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rPr>
          <w:lang w:val="fr-FR"/>
        </w:rPr>
      </w:pPr>
      <w:r>
        <w:rPr>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6540/T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t>2023</w:t>
      </w:r>
      <w:r>
        <w:fldChar w:fldCharType="end"/>
      </w:r>
      <w:bookmarkEnd w:id="7"/>
    </w:p>
    <w:p>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ascii="黑体" w:hAnsi="黑体" w:eastAsia="黑体"/>
          <w:b w:val="0"/>
          <w:bCs w:val="0"/>
          <w:w w:val="100"/>
        </w:rPr>
      </w:pPr>
    </w:p>
    <w:p>
      <w:pPr>
        <w:pStyle w:val="197"/>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电力设施保护管理规范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b/>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b/>
          <w:szCs w:val="28"/>
        </w:rPr>
        <w:t>Management specification for protection of power facility</w:t>
      </w:r>
      <w:r>
        <w:rPr>
          <w:rFonts w:eastAsia="黑体"/>
          <w:b/>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3"/>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2023</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2023</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1"/>
        <w:framePr w:h="584" w:hRule="exact" w:hSpace="181" w:vSpace="181"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伊犁哈萨克自治州市场监督管理局</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1"/>
        <w:spacing w:after="468"/>
        <w:rPr>
          <w:rFonts w:hint="eastAsia"/>
        </w:rPr>
      </w:pPr>
      <w:bookmarkStart w:id="21" w:name="BookMark1"/>
      <w:bookmarkStart w:id="22" w:name="_Toc129035666"/>
      <w:bookmarkStart w:id="23" w:name="_Toc128388997"/>
      <w:bookmarkStart w:id="24" w:name="_Toc129027377"/>
      <w:bookmarkStart w:id="25" w:name="_Toc130915799"/>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"_Toc130918435" </w:instrText>
      </w:r>
      <w:r>
        <w:fldChar w:fldCharType="separate"/>
      </w:r>
      <w:r>
        <w:rPr>
          <w:rStyle w:val="30"/>
        </w:rPr>
        <w:t>前言</w:t>
      </w:r>
      <w:r>
        <w:tab/>
      </w:r>
      <w:r>
        <w:fldChar w:fldCharType="begin"/>
      </w:r>
      <w:r>
        <w:instrText xml:space="preserve"> PAGEREF _Toc130918435 \h </w:instrText>
      </w:r>
      <w:r>
        <w:fldChar w:fldCharType="separate"/>
      </w:r>
      <w:r>
        <w:t>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"_Toc130918436" </w:instrText>
      </w:r>
      <w:r>
        <w:fldChar w:fldCharType="separate"/>
      </w:r>
      <w:r>
        <w:rPr>
          <w:rStyle w:val="30"/>
        </w:rPr>
        <w:t>1  范围</w:t>
      </w:r>
      <w:r>
        <w:tab/>
      </w:r>
      <w:r>
        <w:fldChar w:fldCharType="begin"/>
      </w:r>
      <w:r>
        <w:instrText xml:space="preserve"> PAGEREF _Toc130918436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"_Toc130918437" </w:instrText>
      </w:r>
      <w:r>
        <w:fldChar w:fldCharType="separate"/>
      </w:r>
      <w:r>
        <w:rPr>
          <w:rStyle w:val="30"/>
        </w:rPr>
        <w:t>2  规范性引用文件</w:t>
      </w:r>
      <w:r>
        <w:tab/>
      </w:r>
      <w:r>
        <w:fldChar w:fldCharType="begin"/>
      </w:r>
      <w:r>
        <w:instrText xml:space="preserve"> PAGEREF _Toc130918437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"_Toc130918438" </w:instrText>
      </w:r>
      <w:r>
        <w:fldChar w:fldCharType="separate"/>
      </w:r>
      <w:r>
        <w:rPr>
          <w:rStyle w:val="30"/>
        </w:rPr>
        <w:t>3  术语和定义</w:t>
      </w:r>
      <w:r>
        <w:tab/>
      </w:r>
      <w:r>
        <w:fldChar w:fldCharType="begin"/>
      </w:r>
      <w:r>
        <w:instrText xml:space="preserve"> PAGEREF _Toc130918438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"_Toc130918439" </w:instrText>
      </w:r>
      <w:r>
        <w:fldChar w:fldCharType="separate"/>
      </w:r>
      <w:r>
        <w:rPr>
          <w:rStyle w:val="30"/>
        </w:rPr>
        <w:t>4  基本原则</w:t>
      </w:r>
      <w:r>
        <w:tab/>
      </w:r>
      <w:r>
        <w:fldChar w:fldCharType="begin"/>
      </w:r>
      <w:r>
        <w:instrText xml:space="preserve"> PAGEREF _Toc130918439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"_Toc130918440" </w:instrText>
      </w:r>
      <w:r>
        <w:fldChar w:fldCharType="separate"/>
      </w:r>
      <w:r>
        <w:rPr>
          <w:rStyle w:val="30"/>
        </w:rPr>
        <w:t>5  职责分工</w:t>
      </w:r>
      <w:r>
        <w:tab/>
      </w:r>
      <w:r>
        <w:fldChar w:fldCharType="begin"/>
      </w:r>
      <w:r>
        <w:instrText xml:space="preserve"> PAGEREF _Toc130918440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"_Toc130918441" </w:instrText>
      </w:r>
      <w:r>
        <w:fldChar w:fldCharType="separate"/>
      </w:r>
      <w:r>
        <w:rPr>
          <w:rStyle w:val="30"/>
        </w:rPr>
        <w:t>6  总体规划</w:t>
      </w:r>
      <w:r>
        <w:tab/>
      </w:r>
      <w:r>
        <w:fldChar w:fldCharType="begin"/>
      </w:r>
      <w:r>
        <w:instrText xml:space="preserve"> PAGEREF _Toc130918441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"_Toc130918442" </w:instrText>
      </w:r>
      <w:r>
        <w:fldChar w:fldCharType="separate"/>
      </w:r>
      <w:r>
        <w:rPr>
          <w:rStyle w:val="30"/>
        </w:rPr>
        <w:t>7  设施建设</w:t>
      </w:r>
      <w:r>
        <w:tab/>
      </w:r>
      <w:r>
        <w:fldChar w:fldCharType="begin"/>
      </w:r>
      <w:r>
        <w:instrText xml:space="preserve"> PAGEREF _Toc130918442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"_Toc130918443" </w:instrText>
      </w:r>
      <w:r>
        <w:fldChar w:fldCharType="separate"/>
      </w:r>
      <w:r>
        <w:rPr>
          <w:rStyle w:val="30"/>
        </w:rPr>
        <w:t>8  保护范围和保护区</w:t>
      </w:r>
      <w:r>
        <w:tab/>
      </w:r>
      <w:r>
        <w:fldChar w:fldCharType="begin"/>
      </w:r>
      <w:r>
        <w:instrText xml:space="preserve"> PAGEREF _Toc130918443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"_Toc130918444" </w:instrText>
      </w:r>
      <w:r>
        <w:fldChar w:fldCharType="separate"/>
      </w:r>
      <w:r>
        <w:rPr>
          <w:rStyle w:val="30"/>
          <w:rFonts w:hAnsi="黑体"/>
          <w14:scene3d>
            <w14:lightRig w14:rig="threePt" w14:dir="t">
              <w14:rot w14:lat="0" w14:lon="0" w14:rev="0"/>
            </w14:lightRig>
          </w14:scene3d>
        </w:rPr>
        <w:t xml:space="preserve">8.1 </w:t>
      </w:r>
      <w:r>
        <w:rPr>
          <w:rStyle w:val="30"/>
        </w:rPr>
        <w:t xml:space="preserve"> 电力设施保护范围</w:t>
      </w:r>
      <w:r>
        <w:tab/>
      </w:r>
      <w:r>
        <w:fldChar w:fldCharType="begin"/>
      </w:r>
      <w:r>
        <w:instrText xml:space="preserve"> PAGEREF _Toc130918444 \h </w:instrText>
      </w:r>
      <w:r>
        <w:fldChar w:fldCharType="separate"/>
      </w:r>
      <w:r>
        <w:t>3</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"_Toc130918445" </w:instrText>
      </w:r>
      <w:r>
        <w:fldChar w:fldCharType="separate"/>
      </w:r>
      <w:r>
        <w:rPr>
          <w:rStyle w:val="30"/>
          <w:rFonts w:hAnsi="黑体"/>
        </w:rPr>
        <w:t xml:space="preserve">8.1.1 </w:t>
      </w:r>
      <w:r>
        <w:rPr>
          <w:rStyle w:val="30"/>
        </w:rPr>
        <w:t xml:space="preserve"> 发电、变电设施</w:t>
      </w:r>
      <w:r>
        <w:tab/>
      </w:r>
      <w:r>
        <w:fldChar w:fldCharType="begin"/>
      </w:r>
      <w:r>
        <w:instrText xml:space="preserve"> PAGEREF _Toc130918445 \h </w:instrText>
      </w:r>
      <w:r>
        <w:fldChar w:fldCharType="separate"/>
      </w:r>
      <w:r>
        <w:t>3</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"_Toc130918446" </w:instrText>
      </w:r>
      <w:r>
        <w:fldChar w:fldCharType="separate"/>
      </w:r>
      <w:r>
        <w:rPr>
          <w:rStyle w:val="30"/>
          <w:rFonts w:hAnsi="黑体"/>
        </w:rPr>
        <w:t xml:space="preserve">8.1.2 </w:t>
      </w:r>
      <w:r>
        <w:rPr>
          <w:rStyle w:val="30"/>
        </w:rPr>
        <w:t xml:space="preserve"> 电力线路设施</w:t>
      </w:r>
      <w:r>
        <w:tab/>
      </w:r>
      <w:r>
        <w:fldChar w:fldCharType="begin"/>
      </w:r>
      <w:r>
        <w:instrText xml:space="preserve"> PAGEREF _Toc130918446 \h </w:instrText>
      </w:r>
      <w:r>
        <w:fldChar w:fldCharType="separate"/>
      </w:r>
      <w:r>
        <w:t>3</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"_Toc130918447" </w:instrText>
      </w:r>
      <w:r>
        <w:fldChar w:fldCharType="separate"/>
      </w:r>
      <w:r>
        <w:rPr>
          <w:rStyle w:val="30"/>
          <w:rFonts w:hAnsi="黑体"/>
        </w:rPr>
        <w:t xml:space="preserve">8.1.3 </w:t>
      </w:r>
      <w:r>
        <w:rPr>
          <w:rStyle w:val="30"/>
        </w:rPr>
        <w:t xml:space="preserve"> 电力调度设施</w:t>
      </w:r>
      <w:r>
        <w:tab/>
      </w:r>
      <w:r>
        <w:fldChar w:fldCharType="begin"/>
      </w:r>
      <w:r>
        <w:instrText xml:space="preserve"> PAGEREF _Toc130918447 \h </w:instrText>
      </w:r>
      <w:r>
        <w:fldChar w:fldCharType="separate"/>
      </w:r>
      <w:r>
        <w:t>3</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"_Toc130918448" </w:instrText>
      </w:r>
      <w:r>
        <w:fldChar w:fldCharType="separate"/>
      </w:r>
      <w:r>
        <w:rPr>
          <w:rStyle w:val="30"/>
          <w:rFonts w:hAnsi="黑体"/>
        </w:rPr>
        <w:t xml:space="preserve">8.1.4 </w:t>
      </w:r>
      <w:r>
        <w:rPr>
          <w:rStyle w:val="30"/>
        </w:rPr>
        <w:t xml:space="preserve"> 电力交易场所设施</w:t>
      </w:r>
      <w:r>
        <w:tab/>
      </w:r>
      <w:r>
        <w:fldChar w:fldCharType="begin"/>
      </w:r>
      <w:r>
        <w:instrText xml:space="preserve"> PAGEREF _Toc130918448 \h </w:instrText>
      </w:r>
      <w:r>
        <w:fldChar w:fldCharType="separate"/>
      </w:r>
      <w:r>
        <w:t>3</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"_Toc130918449" </w:instrText>
      </w:r>
      <w:r>
        <w:fldChar w:fldCharType="separate"/>
      </w:r>
      <w:r>
        <w:rPr>
          <w:rStyle w:val="30"/>
          <w:rFonts w:hAnsi="黑体"/>
        </w:rPr>
        <w:t xml:space="preserve">8.1.5 </w:t>
      </w:r>
      <w:r>
        <w:rPr>
          <w:rStyle w:val="30"/>
        </w:rPr>
        <w:t xml:space="preserve"> 电力专用通信设施</w:t>
      </w:r>
      <w:r>
        <w:tab/>
      </w:r>
      <w:r>
        <w:fldChar w:fldCharType="begin"/>
      </w:r>
      <w:r>
        <w:instrText xml:space="preserve"> PAGEREF _Toc130918449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"_Toc130918450" </w:instrText>
      </w:r>
      <w:r>
        <w:fldChar w:fldCharType="separate"/>
      </w:r>
      <w:r>
        <w:rPr>
          <w:rStyle w:val="30"/>
          <w:rFonts w:hAnsi="黑体"/>
          <w14:scene3d>
            <w14:lightRig w14:rig="threePt" w14:dir="t">
              <w14:rot w14:lat="0" w14:lon="0" w14:rev="0"/>
            </w14:lightRig>
          </w14:scene3d>
        </w:rPr>
        <w:t xml:space="preserve">8.2 </w:t>
      </w:r>
      <w:r>
        <w:rPr>
          <w:rStyle w:val="30"/>
        </w:rPr>
        <w:t xml:space="preserve"> 电力设施保护区</w:t>
      </w:r>
      <w:r>
        <w:tab/>
      </w:r>
      <w:r>
        <w:fldChar w:fldCharType="begin"/>
      </w:r>
      <w:r>
        <w:instrText xml:space="preserve"> PAGEREF _Toc130918450 \h </w:instrText>
      </w:r>
      <w:r>
        <w:fldChar w:fldCharType="separate"/>
      </w:r>
      <w:r>
        <w:t>4</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"_Toc130918451" </w:instrText>
      </w:r>
      <w:r>
        <w:fldChar w:fldCharType="separate"/>
      </w:r>
      <w:r>
        <w:rPr>
          <w:rStyle w:val="30"/>
          <w:rFonts w:hAnsi="黑体"/>
        </w:rPr>
        <w:t xml:space="preserve">8.2.1 </w:t>
      </w:r>
      <w:r>
        <w:rPr>
          <w:rStyle w:val="30"/>
        </w:rPr>
        <w:t xml:space="preserve"> 架空电力线路保护区</w:t>
      </w:r>
      <w:r>
        <w:tab/>
      </w:r>
      <w:r>
        <w:fldChar w:fldCharType="begin"/>
      </w:r>
      <w:r>
        <w:instrText xml:space="preserve"> PAGEREF _Toc130918451 \h </w:instrText>
      </w:r>
      <w:r>
        <w:fldChar w:fldCharType="separate"/>
      </w:r>
      <w:r>
        <w:t>4</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"_Toc130918452" </w:instrText>
      </w:r>
      <w:r>
        <w:fldChar w:fldCharType="separate"/>
      </w:r>
      <w:r>
        <w:rPr>
          <w:rStyle w:val="30"/>
          <w:rFonts w:hAnsi="黑体"/>
        </w:rPr>
        <w:t xml:space="preserve">8.2.2 </w:t>
      </w:r>
      <w:r>
        <w:rPr>
          <w:rStyle w:val="30"/>
        </w:rPr>
        <w:t xml:space="preserve"> 电力电缆线路保护区</w:t>
      </w:r>
      <w:r>
        <w:tab/>
      </w:r>
      <w:r>
        <w:fldChar w:fldCharType="begin"/>
      </w:r>
      <w:r>
        <w:instrText xml:space="preserve"> PAGEREF _Toc130918452 \h </w:instrText>
      </w:r>
      <w:r>
        <w:fldChar w:fldCharType="separate"/>
      </w:r>
      <w:r>
        <w:t>5</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"_Toc130918453" </w:instrText>
      </w:r>
      <w:r>
        <w:fldChar w:fldCharType="separate"/>
      </w:r>
      <w:r>
        <w:rPr>
          <w:rStyle w:val="30"/>
          <w:rFonts w:hAnsi="黑体"/>
        </w:rPr>
        <w:t xml:space="preserve">8.2.3 </w:t>
      </w:r>
      <w:r>
        <w:rPr>
          <w:rStyle w:val="30"/>
        </w:rPr>
        <w:t xml:space="preserve"> 发电厂、热电厂等保护区</w:t>
      </w:r>
      <w:r>
        <w:tab/>
      </w:r>
      <w:r>
        <w:fldChar w:fldCharType="begin"/>
      </w:r>
      <w:r>
        <w:instrText xml:space="preserve"> PAGEREF _Toc130918453 \h </w:instrText>
      </w:r>
      <w:r>
        <w:fldChar w:fldCharType="separate"/>
      </w:r>
      <w:r>
        <w:t>5</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"_Toc130918454" </w:instrText>
      </w:r>
      <w:r>
        <w:fldChar w:fldCharType="separate"/>
      </w:r>
      <w:r>
        <w:rPr>
          <w:rStyle w:val="30"/>
          <w:rFonts w:hAnsi="黑体"/>
        </w:rPr>
        <w:t xml:space="preserve">8.2.4 </w:t>
      </w:r>
      <w:r>
        <w:rPr>
          <w:rStyle w:val="30"/>
        </w:rPr>
        <w:t xml:space="preserve"> 杆塔、拉线的基础保护区</w:t>
      </w:r>
      <w:r>
        <w:tab/>
      </w:r>
      <w:r>
        <w:fldChar w:fldCharType="begin"/>
      </w:r>
      <w:r>
        <w:instrText xml:space="preserve"> PAGEREF _Toc130918454 \h </w:instrText>
      </w:r>
      <w:r>
        <w:fldChar w:fldCharType="separate"/>
      </w:r>
      <w:r>
        <w:t>5</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"_Toc130918455" </w:instrText>
      </w:r>
      <w:r>
        <w:fldChar w:fldCharType="separate"/>
      </w:r>
      <w:r>
        <w:rPr>
          <w:rStyle w:val="30"/>
        </w:rPr>
        <w:t>9  保护措施</w:t>
      </w:r>
      <w:r>
        <w:tab/>
      </w:r>
      <w:r>
        <w:fldChar w:fldCharType="begin"/>
      </w:r>
      <w:r>
        <w:instrText xml:space="preserve"> PAGEREF _Toc130918455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"_Toc130918456" </w:instrText>
      </w:r>
      <w:r>
        <w:fldChar w:fldCharType="separate"/>
      </w:r>
      <w:r>
        <w:rPr>
          <w:rStyle w:val="30"/>
          <w:rFonts w:hAnsi="黑体"/>
          <w14:scene3d>
            <w14:lightRig w14:rig="threePt" w14:dir="t">
              <w14:rot w14:lat="0" w14:lon="0" w14:rev="0"/>
            </w14:lightRig>
          </w14:scene3d>
        </w:rPr>
        <w:t xml:space="preserve">9.1 </w:t>
      </w:r>
      <w:r>
        <w:rPr>
          <w:rStyle w:val="30"/>
        </w:rPr>
        <w:t xml:space="preserve"> 安全标志</w:t>
      </w:r>
      <w:r>
        <w:tab/>
      </w:r>
      <w:r>
        <w:fldChar w:fldCharType="begin"/>
      </w:r>
      <w:r>
        <w:instrText xml:space="preserve"> PAGEREF _Toc130918456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"_Toc130918457" </w:instrText>
      </w:r>
      <w:r>
        <w:fldChar w:fldCharType="separate"/>
      </w:r>
      <w:r>
        <w:rPr>
          <w:rStyle w:val="30"/>
          <w:rFonts w:hAnsi="黑体"/>
          <w14:scene3d>
            <w14:lightRig w14:rig="threePt" w14:dir="t">
              <w14:rot w14:lat="0" w14:lon="0" w14:rev="0"/>
            </w14:lightRig>
          </w14:scene3d>
        </w:rPr>
        <w:t xml:space="preserve">9.2 </w:t>
      </w:r>
      <w:r>
        <w:rPr>
          <w:rStyle w:val="30"/>
        </w:rPr>
        <w:t xml:space="preserve"> 爆破作业</w:t>
      </w:r>
      <w:r>
        <w:tab/>
      </w:r>
      <w:r>
        <w:fldChar w:fldCharType="begin"/>
      </w:r>
      <w:r>
        <w:instrText xml:space="preserve"> PAGEREF _Toc130918457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"_Toc130918458" </w:instrText>
      </w:r>
      <w:r>
        <w:fldChar w:fldCharType="separate"/>
      </w:r>
      <w:r>
        <w:rPr>
          <w:rStyle w:val="30"/>
          <w:rFonts w:hAnsi="黑体"/>
          <w14:scene3d>
            <w14:lightRig w14:rig="threePt" w14:dir="t">
              <w14:rot w14:lat="0" w14:lon="0" w14:rev="0"/>
            </w14:lightRig>
          </w14:scene3d>
        </w:rPr>
        <w:t xml:space="preserve">9.3 </w:t>
      </w:r>
      <w:r>
        <w:rPr>
          <w:rStyle w:val="30"/>
        </w:rPr>
        <w:t xml:space="preserve"> 电力设施建设</w:t>
      </w:r>
      <w:r>
        <w:tab/>
      </w:r>
      <w:r>
        <w:fldChar w:fldCharType="begin"/>
      </w:r>
      <w:r>
        <w:instrText xml:space="preserve"> PAGEREF _Toc130918458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"_Toc130918459" </w:instrText>
      </w:r>
      <w:r>
        <w:fldChar w:fldCharType="separate"/>
      </w:r>
      <w:r>
        <w:rPr>
          <w:rStyle w:val="30"/>
          <w:rFonts w:hAnsi="黑体"/>
          <w14:scene3d>
            <w14:lightRig w14:rig="threePt" w14:dir="t">
              <w14:rot w14:lat="0" w14:lon="0" w14:rev="0"/>
            </w14:lightRig>
          </w14:scene3d>
        </w:rPr>
        <w:t xml:space="preserve">9.4 </w:t>
      </w:r>
      <w:r>
        <w:rPr>
          <w:rStyle w:val="30"/>
        </w:rPr>
        <w:t xml:space="preserve"> 架空电力线路</w:t>
      </w:r>
      <w:r>
        <w:tab/>
      </w:r>
      <w:r>
        <w:fldChar w:fldCharType="begin"/>
      </w:r>
      <w:r>
        <w:instrText xml:space="preserve"> PAGEREF _Toc130918459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"_Toc130918460" </w:instrText>
      </w:r>
      <w:r>
        <w:fldChar w:fldCharType="separate"/>
      </w:r>
      <w:r>
        <w:rPr>
          <w:rStyle w:val="30"/>
          <w:rFonts w:hAnsi="黑体"/>
          <w14:scene3d>
            <w14:lightRig w14:rig="threePt" w14:dir="t">
              <w14:rot w14:lat="0" w14:lon="0" w14:rev="0"/>
            </w14:lightRig>
          </w14:scene3d>
        </w:rPr>
        <w:t xml:space="preserve">9.5 </w:t>
      </w:r>
      <w:r>
        <w:rPr>
          <w:rStyle w:val="30"/>
        </w:rPr>
        <w:t xml:space="preserve"> 发电、变电设施</w:t>
      </w:r>
      <w:r>
        <w:tab/>
      </w:r>
      <w:r>
        <w:fldChar w:fldCharType="begin"/>
      </w:r>
      <w:r>
        <w:instrText xml:space="preserve"> PAGEREF _Toc130918460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"_Toc130918461" </w:instrText>
      </w:r>
      <w:r>
        <w:fldChar w:fldCharType="separate"/>
      </w:r>
      <w:r>
        <w:rPr>
          <w:rStyle w:val="30"/>
          <w:rFonts w:hAnsi="黑体"/>
          <w14:scene3d>
            <w14:lightRig w14:rig="threePt" w14:dir="t">
              <w14:rot w14:lat="0" w14:lon="0" w14:rev="0"/>
            </w14:lightRig>
          </w14:scene3d>
        </w:rPr>
        <w:t xml:space="preserve">9.6 </w:t>
      </w:r>
      <w:r>
        <w:rPr>
          <w:rStyle w:val="30"/>
        </w:rPr>
        <w:t xml:space="preserve"> 电力线路设施</w:t>
      </w:r>
      <w:r>
        <w:tab/>
      </w:r>
      <w:r>
        <w:fldChar w:fldCharType="begin"/>
      </w:r>
      <w:r>
        <w:instrText xml:space="preserve"> PAGEREF _Toc130918461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"_Toc130918462" </w:instrText>
      </w:r>
      <w:r>
        <w:fldChar w:fldCharType="separate"/>
      </w:r>
      <w:r>
        <w:rPr>
          <w:rStyle w:val="30"/>
          <w:rFonts w:hAnsi="黑体"/>
          <w14:scene3d>
            <w14:lightRig w14:rig="threePt" w14:dir="t">
              <w14:rot w14:lat="0" w14:lon="0" w14:rev="0"/>
            </w14:lightRig>
          </w14:scene3d>
        </w:rPr>
        <w:t xml:space="preserve">9.7 </w:t>
      </w:r>
      <w:r>
        <w:rPr>
          <w:rStyle w:val="30"/>
        </w:rPr>
        <w:t xml:space="preserve"> 保护区</w:t>
      </w:r>
      <w:r>
        <w:tab/>
      </w:r>
      <w:r>
        <w:fldChar w:fldCharType="begin"/>
      </w:r>
      <w:r>
        <w:instrText xml:space="preserve"> PAGEREF _Toc130918462 \h </w:instrText>
      </w:r>
      <w:r>
        <w:fldChar w:fldCharType="separate"/>
      </w:r>
      <w:r>
        <w:t>7</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"_Toc130918463" </w:instrText>
      </w:r>
      <w:r>
        <w:fldChar w:fldCharType="separate"/>
      </w:r>
      <w:r>
        <w:rPr>
          <w:rStyle w:val="30"/>
          <w:rFonts w:hAnsi="黑体"/>
        </w:rPr>
        <w:t xml:space="preserve">9.7.1 </w:t>
      </w:r>
      <w:r>
        <w:rPr>
          <w:rStyle w:val="30"/>
        </w:rPr>
        <w:t xml:space="preserve"> 基本要求</w:t>
      </w:r>
      <w:r>
        <w:tab/>
      </w:r>
      <w:r>
        <w:fldChar w:fldCharType="begin"/>
      </w:r>
      <w:r>
        <w:instrText xml:space="preserve"> PAGEREF _Toc130918463 \h </w:instrText>
      </w:r>
      <w:r>
        <w:fldChar w:fldCharType="separate"/>
      </w:r>
      <w:r>
        <w:t>7</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"_Toc130918464" </w:instrText>
      </w:r>
      <w:r>
        <w:fldChar w:fldCharType="separate"/>
      </w:r>
      <w:r>
        <w:rPr>
          <w:rStyle w:val="30"/>
          <w:rFonts w:hAnsi="黑体"/>
        </w:rPr>
        <w:t xml:space="preserve">9.7.2 </w:t>
      </w:r>
      <w:r>
        <w:rPr>
          <w:rStyle w:val="30"/>
        </w:rPr>
        <w:t xml:space="preserve"> 架空电力线路保护区</w:t>
      </w:r>
      <w:r>
        <w:tab/>
      </w:r>
      <w:r>
        <w:fldChar w:fldCharType="begin"/>
      </w:r>
      <w:r>
        <w:instrText xml:space="preserve"> PAGEREF _Toc130918464 \h </w:instrText>
      </w:r>
      <w:r>
        <w:fldChar w:fldCharType="separate"/>
      </w:r>
      <w:r>
        <w:t>7</w:t>
      </w:r>
      <w:r>
        <w:fldChar w:fldCharType="end"/>
      </w:r>
      <w:r>
        <w:fldChar w:fldCharType="end"/>
      </w:r>
    </w:p>
    <w:p>
      <w:pPr>
        <w:pStyle w:val="15"/>
        <w:tabs>
          <w:tab w:val="right" w:leader="dot" w:pos="9344"/>
        </w:tabs>
        <w:rPr>
          <w:rFonts w:asciiTheme="minorHAnsi" w:hAnsiTheme="minorHAnsi" w:eastAsiaTheme="minorEastAsia" w:cstheme="minorBidi"/>
          <w:szCs w:val="22"/>
        </w:rPr>
      </w:pPr>
      <w:r>
        <w:fldChar w:fldCharType="begin"/>
      </w:r>
      <w:r>
        <w:instrText xml:space="preserve"> HYPERLINK \l "_Toc130918465" </w:instrText>
      </w:r>
      <w:r>
        <w:fldChar w:fldCharType="separate"/>
      </w:r>
      <w:r>
        <w:rPr>
          <w:rStyle w:val="30"/>
          <w:rFonts w:hAnsi="黑体"/>
        </w:rPr>
        <w:t xml:space="preserve">9.7.3 </w:t>
      </w:r>
      <w:r>
        <w:rPr>
          <w:rStyle w:val="30"/>
        </w:rPr>
        <w:t xml:space="preserve"> 电力电缆线路保护区</w:t>
      </w:r>
      <w:r>
        <w:tab/>
      </w:r>
      <w:r>
        <w:fldChar w:fldCharType="begin"/>
      </w:r>
      <w:r>
        <w:instrText xml:space="preserve"> PAGEREF _Toc130918465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"_Toc130918466" </w:instrText>
      </w:r>
      <w:r>
        <w:fldChar w:fldCharType="separate"/>
      </w:r>
      <w:r>
        <w:rPr>
          <w:rStyle w:val="30"/>
          <w:rFonts w:hAnsi="黑体"/>
          <w14:scene3d>
            <w14:lightRig w14:rig="threePt" w14:dir="t">
              <w14:rot w14:lat="0" w14:lon="0" w14:rev="0"/>
            </w14:lightRig>
          </w14:scene3d>
        </w:rPr>
        <w:t xml:space="preserve">9.8 </w:t>
      </w:r>
      <w:r>
        <w:rPr>
          <w:rStyle w:val="30"/>
        </w:rPr>
        <w:t xml:space="preserve"> 电力设施器材</w:t>
      </w:r>
      <w:r>
        <w:tab/>
      </w:r>
      <w:r>
        <w:fldChar w:fldCharType="begin"/>
      </w:r>
      <w:r>
        <w:instrText xml:space="preserve"> PAGEREF _Toc130918466 \h </w:instrText>
      </w:r>
      <w:r>
        <w:fldChar w:fldCharType="separate"/>
      </w:r>
      <w:r>
        <w:t>8</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"_Toc130918467" </w:instrText>
      </w:r>
      <w:r>
        <w:fldChar w:fldCharType="separate"/>
      </w:r>
      <w:r>
        <w:rPr>
          <w:rStyle w:val="30"/>
          <w:rFonts w:hAnsi="黑体"/>
          <w14:scene3d>
            <w14:lightRig w14:rig="threePt" w14:dir="t">
              <w14:rot w14:lat="0" w14:lon="0" w14:rev="0"/>
            </w14:lightRig>
          </w14:scene3d>
        </w:rPr>
        <w:t xml:space="preserve">9.9 </w:t>
      </w:r>
      <w:r>
        <w:rPr>
          <w:rStyle w:val="30"/>
        </w:rPr>
        <w:t xml:space="preserve"> 巡视、维护、检修</w:t>
      </w:r>
      <w:r>
        <w:tab/>
      </w:r>
      <w:r>
        <w:fldChar w:fldCharType="begin"/>
      </w:r>
      <w:r>
        <w:instrText xml:space="preserve"> PAGEREF _Toc130918467 \h </w:instrText>
      </w:r>
      <w:r>
        <w:fldChar w:fldCharType="separate"/>
      </w:r>
      <w:r>
        <w:t>8</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"_Toc130918468" </w:instrText>
      </w:r>
      <w:r>
        <w:fldChar w:fldCharType="separate"/>
      </w:r>
      <w:r>
        <w:rPr>
          <w:rStyle w:val="30"/>
        </w:rPr>
        <w:t>参考文献</w:t>
      </w:r>
      <w:r>
        <w:tab/>
      </w:r>
      <w:r>
        <w:fldChar w:fldCharType="begin"/>
      </w:r>
      <w:r>
        <w:instrText xml:space="preserve"> PAGEREF _Toc130918468 \h </w:instrText>
      </w:r>
      <w:r>
        <w:fldChar w:fldCharType="separate"/>
      </w:r>
      <w:r>
        <w:t>9</w:t>
      </w:r>
      <w:r>
        <w:fldChar w:fldCharType="end"/>
      </w:r>
      <w:r>
        <w:fldChar w:fldCharType="end"/>
      </w:r>
    </w:p>
    <w:p>
      <w:pPr>
        <w:pStyle w:val="91"/>
        <w:spacing w:after="468"/>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pPr>
        <w:pStyle w:val="89"/>
        <w:spacing w:after="468"/>
      </w:pPr>
      <w:bookmarkStart w:id="26" w:name="_Toc130918435"/>
      <w:bookmarkStart w:id="27" w:name="BookMark2"/>
      <w:r>
        <w:rPr>
          <w:spacing w:val="320"/>
        </w:rPr>
        <w:t>前</w:t>
      </w:r>
      <w:r>
        <w:t>言</w:t>
      </w:r>
      <w:bookmarkEnd w:id="22"/>
      <w:bookmarkEnd w:id="23"/>
      <w:bookmarkEnd w:id="24"/>
      <w:bookmarkEnd w:id="25"/>
      <w:bookmarkEnd w:id="26"/>
    </w:p>
    <w:p>
      <w:pPr>
        <w:pStyle w:val="56"/>
        <w:ind w:firstLine="420"/>
      </w:pPr>
      <w:r>
        <w:rPr>
          <w:rFonts w:hint="eastAsia"/>
        </w:rPr>
        <w:t>本文件按照GB/T 1.1—2020《标准化工作导则  第1部分：标准化文件的结构和起草规则》的规定起草。</w:t>
      </w:r>
    </w:p>
    <w:p>
      <w:pPr>
        <w:pStyle w:val="56"/>
        <w:ind w:firstLine="420"/>
        <w:rPr>
          <w:highlight w:val="none"/>
        </w:rPr>
      </w:pPr>
      <w:r>
        <w:rPr>
          <w:rFonts w:hint="eastAsia"/>
        </w:rPr>
        <w:t>本</w:t>
      </w:r>
      <w:r>
        <w:rPr>
          <w:rFonts w:hint="eastAsia"/>
          <w:highlight w:val="none"/>
        </w:rPr>
        <w:t>文件由国网伊犁伊河供电有限责任公司提出。</w:t>
      </w:r>
    </w:p>
    <w:p>
      <w:pPr>
        <w:pStyle w:val="56"/>
        <w:ind w:firstLine="420"/>
        <w:rPr>
          <w:highlight w:val="none"/>
        </w:rPr>
      </w:pPr>
      <w:r>
        <w:rPr>
          <w:rFonts w:hint="eastAsia"/>
          <w:highlight w:val="none"/>
        </w:rPr>
        <w:t>本文件由伊犁哈萨克自治州发展和改革委员会归口并组织实施。</w:t>
      </w:r>
    </w:p>
    <w:p>
      <w:pPr>
        <w:pStyle w:val="56"/>
        <w:ind w:firstLine="420"/>
        <w:rPr>
          <w:color w:val="000000" w:themeColor="text1"/>
          <w:highlight w:val="none"/>
          <w14:textFill>
            <w14:solidFill>
              <w14:schemeClr w14:val="tx1"/>
            </w14:solidFill>
          </w14:textFill>
        </w:rPr>
      </w:pPr>
      <w:r>
        <w:rPr>
          <w:rFonts w:hint="eastAsia"/>
          <w:highlight w:val="none"/>
        </w:rPr>
        <w:t>本文件起草单位：</w:t>
      </w:r>
      <w:r>
        <w:rPr>
          <w:rFonts w:hint="eastAsia"/>
          <w:color w:val="000000" w:themeColor="text1"/>
          <w:highlight w:val="none"/>
          <w14:textFill>
            <w14:solidFill>
              <w14:schemeClr w14:val="tx1"/>
            </w14:solidFill>
          </w14:textFill>
        </w:rPr>
        <w:t>国网伊犁伊河供电有限责任公司、</w:t>
      </w:r>
      <w:r>
        <w:rPr>
          <w:rFonts w:hint="eastAsia"/>
          <w:color w:val="000000" w:themeColor="text1"/>
          <w:szCs w:val="21"/>
          <w:highlight w:val="none"/>
          <w14:textFill>
            <w14:solidFill>
              <w14:schemeClr w14:val="tx1"/>
            </w14:solidFill>
          </w14:textFill>
        </w:rPr>
        <w:t>新疆维吾尔自治区标准化研究院。</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本文件主要起草人：X</w:t>
      </w:r>
      <w:r>
        <w:rPr>
          <w:color w:val="000000" w:themeColor="text1"/>
          <w:highlight w:val="none"/>
          <w14:textFill>
            <w14:solidFill>
              <w14:schemeClr w14:val="tx1"/>
            </w14:solidFill>
          </w14:textFill>
        </w:rPr>
        <w:t>XX</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本文件实施应用中的疑问，请咨询国网伊犁伊河供电有限责任公司。</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对本文件的修改意见建议，请反馈至伊犁哈萨克自治州发展和改革委员会（伊宁市解放西路147号）、国网伊犁伊河供电有限责任公司（伊宁市开发区山东路689号）、</w:t>
      </w:r>
      <w:r>
        <w:rPr>
          <w:rFonts w:hint="eastAsia"/>
          <w:color w:val="000000" w:themeColor="text1"/>
          <w:szCs w:val="21"/>
          <w:highlight w:val="none"/>
          <w14:textFill>
            <w14:solidFill>
              <w14:schemeClr w14:val="tx1"/>
            </w14:solidFill>
          </w14:textFill>
        </w:rPr>
        <w:t>新疆维吾尔自治区标准化研究院（乌鲁木齐市河北东路</w:t>
      </w:r>
      <w:r>
        <w:rPr>
          <w:color w:val="000000" w:themeColor="text1"/>
          <w:szCs w:val="21"/>
          <w:highlight w:val="none"/>
          <w14:textFill>
            <w14:solidFill>
              <w14:schemeClr w14:val="tx1"/>
            </w14:solidFill>
          </w14:textFill>
        </w:rPr>
        <w:t>188</w:t>
      </w:r>
      <w:r>
        <w:rPr>
          <w:rFonts w:hint="eastAsia"/>
          <w:color w:val="000000" w:themeColor="text1"/>
          <w:szCs w:val="21"/>
          <w:highlight w:val="none"/>
          <w14:textFill>
            <w14:solidFill>
              <w14:schemeClr w14:val="tx1"/>
            </w14:solidFill>
          </w14:textFill>
        </w:rPr>
        <w:t>号）</w:t>
      </w:r>
      <w:r>
        <w:rPr>
          <w:rFonts w:hint="eastAsia"/>
          <w:color w:val="000000" w:themeColor="text1"/>
          <w:highlight w:val="none"/>
          <w14:textFill>
            <w14:solidFill>
              <w14:schemeClr w14:val="tx1"/>
            </w14:solidFill>
          </w14:textFill>
        </w:rPr>
        <w:t>、伊犁哈萨克自治州市场监督管理局（伊宁市斯大林西街4巷9号）。</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伊犁哈萨克自治州发展和改革委员会 联系电话：</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；传真：</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；邮编：</w:t>
      </w:r>
      <w:r>
        <w:rPr>
          <w:color w:val="000000" w:themeColor="text1"/>
          <w:highlight w:val="none"/>
          <w14:textFill>
            <w14:solidFill>
              <w14:schemeClr w14:val="tx1"/>
            </w14:solidFill>
          </w14:textFill>
        </w:rPr>
        <w:t>835000</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国网伊犁伊河供电有限责任公司 联系电话：</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；传真：</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；邮编：</w:t>
      </w:r>
      <w:r>
        <w:rPr>
          <w:color w:val="000000" w:themeColor="text1"/>
          <w:highlight w:val="none"/>
          <w14:textFill>
            <w14:solidFill>
              <w14:schemeClr w14:val="tx1"/>
            </w14:solidFill>
          </w14:textFill>
        </w:rPr>
        <w:t>835000</w:t>
      </w:r>
    </w:p>
    <w:p>
      <w:pPr>
        <w:pStyle w:val="56"/>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新疆维吾尔自治区标准化研究院 联系电话：0991-2817441；传真：0991-2817472；邮编：830011</w:t>
      </w:r>
    </w:p>
    <w:p>
      <w:pPr>
        <w:pStyle w:val="56"/>
        <w:ind w:firstLine="420"/>
      </w:pPr>
      <w:r>
        <w:rPr>
          <w:rFonts w:hint="eastAsia"/>
          <w:color w:val="000000" w:themeColor="text1"/>
          <w:highlight w:val="none"/>
          <w14:textFill>
            <w14:solidFill>
              <w14:schemeClr w14:val="tx1"/>
            </w14:solidFill>
          </w14:textFill>
        </w:rPr>
        <w:t>伊犁哈萨克自治州市场监督管理局 联系电话：</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；传真：</w:t>
      </w:r>
      <w:r>
        <w:rPr>
          <w:color w:val="000000" w:themeColor="text1"/>
          <w:highlight w:val="none"/>
          <w14:textFill>
            <w14:solidFill>
              <w14:schemeClr w14:val="tx1"/>
            </w14:solidFill>
          </w14:textFill>
        </w:rPr>
        <w:t>XXX</w:t>
      </w:r>
      <w:r>
        <w:rPr>
          <w:rFonts w:hint="eastAsia"/>
          <w:color w:val="000000" w:themeColor="text1"/>
          <w:highlight w:val="none"/>
          <w14:textFill>
            <w14:solidFill>
              <w14:schemeClr w14:val="tx1"/>
            </w14:solidFill>
          </w14:textFill>
        </w:rPr>
        <w:t>；邮编</w:t>
      </w:r>
      <w:r>
        <w:rPr>
          <w:rFonts w:hint="eastAsia"/>
          <w:highlight w:val="none"/>
        </w:rPr>
        <w:t>：</w:t>
      </w:r>
      <w:r>
        <w:rPr>
          <w:highlight w:val="none"/>
        </w:rPr>
        <w:t>835</w:t>
      </w:r>
      <w:r>
        <w:t>000</w:t>
      </w:r>
    </w:p>
    <w:p>
      <w:pPr>
        <w:pStyle w:val="56"/>
        <w:ind w:firstLine="420"/>
      </w:pPr>
    </w:p>
    <w:p>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7"/>
    <w:p>
      <w:pPr>
        <w:spacing w:line="20" w:lineRule="exact"/>
        <w:jc w:val="center"/>
        <w:rPr>
          <w:rFonts w:ascii="黑体" w:hAnsi="黑体" w:eastAsia="黑体"/>
          <w:sz w:val="32"/>
          <w:szCs w:val="32"/>
        </w:rPr>
      </w:pPr>
      <w:bookmarkStart w:id="28" w:name="BookMark4"/>
    </w:p>
    <w:p>
      <w:pPr>
        <w:spacing w:line="20" w:lineRule="exact"/>
        <w:jc w:val="center"/>
        <w:rPr>
          <w:rFonts w:ascii="黑体" w:hAnsi="黑体" w:eastAsia="黑体"/>
          <w:sz w:val="32"/>
          <w:szCs w:val="32"/>
        </w:rPr>
      </w:pPr>
    </w:p>
    <w:sdt>
      <w:sdtPr>
        <w:tag w:val="NEW_STAND_NAME"/>
        <w:id w:val="595910757"/>
        <w:lock w:val="sdtLocked"/>
        <w:placeholder>
          <w:docPart w:val="59AE9B56BC79477C8BAABB2042723EC4"/>
        </w:placeholder>
      </w:sdtPr>
      <w:sdtContent>
        <w:p>
          <w:pPr>
            <w:pStyle w:val="177"/>
            <w:spacing w:before="315" w:beforeLines="101" w:after="686" w:afterLines="220"/>
          </w:pPr>
          <w:bookmarkStart w:id="29" w:name="NEW_STAND_NAME"/>
          <w:r>
            <w:rPr>
              <w:rFonts w:hint="eastAsia"/>
            </w:rPr>
            <w:t>电力设施保护管理规范</w:t>
          </w:r>
        </w:p>
      </w:sdtContent>
    </w:sdt>
    <w:bookmarkEnd w:id="29"/>
    <w:p>
      <w:pPr>
        <w:pStyle w:val="104"/>
        <w:spacing w:before="312" w:after="312"/>
      </w:pPr>
      <w:bookmarkStart w:id="30" w:name="_Toc26648465"/>
      <w:bookmarkStart w:id="31" w:name="_Toc17233325"/>
      <w:bookmarkStart w:id="32" w:name="_Toc24884211"/>
      <w:bookmarkStart w:id="33" w:name="_Toc26986771"/>
      <w:bookmarkStart w:id="34" w:name="_Toc26986530"/>
      <w:bookmarkStart w:id="35" w:name="_Toc26718930"/>
      <w:bookmarkStart w:id="36" w:name="_Toc128388998"/>
      <w:bookmarkStart w:id="37" w:name="_Toc97191423"/>
      <w:bookmarkStart w:id="38" w:name="_Toc130915800"/>
      <w:bookmarkStart w:id="39" w:name="_Toc130918436"/>
      <w:bookmarkStart w:id="40" w:name="_Toc129027378"/>
      <w:bookmarkStart w:id="41" w:name="_Toc24884218"/>
      <w:bookmarkStart w:id="42" w:name="_Toc129035667"/>
      <w:bookmarkStart w:id="43" w:name="_Toc17233333"/>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56"/>
        <w:ind w:firstLine="420"/>
      </w:pPr>
      <w:bookmarkStart w:id="44" w:name="_Toc17233326"/>
      <w:bookmarkStart w:id="45" w:name="_Toc26648466"/>
      <w:bookmarkStart w:id="46" w:name="_Toc17233334"/>
      <w:bookmarkStart w:id="47" w:name="_Toc24884212"/>
      <w:bookmarkStart w:id="48" w:name="_Toc24884219"/>
      <w:r>
        <w:rPr>
          <w:rFonts w:hint="eastAsia"/>
        </w:rPr>
        <w:t>本文件规定了</w:t>
      </w:r>
      <w:r>
        <w:t>电力设施</w:t>
      </w:r>
      <w:r>
        <w:rPr>
          <w:rFonts w:hint="eastAsia"/>
        </w:rPr>
        <w:t>保护的基本原则</w:t>
      </w:r>
      <w:r>
        <w:t>、</w:t>
      </w:r>
      <w:r>
        <w:rPr>
          <w:rFonts w:hint="eastAsia"/>
        </w:rPr>
        <w:t>职责分工</w:t>
      </w:r>
      <w:r>
        <w:t>、</w:t>
      </w:r>
      <w:r>
        <w:rPr>
          <w:rFonts w:hint="eastAsia"/>
        </w:rPr>
        <w:t>总体规划</w:t>
      </w:r>
      <w:r>
        <w:t>、设施建设、</w:t>
      </w:r>
      <w:r>
        <w:rPr>
          <w:rFonts w:hint="eastAsia"/>
        </w:rPr>
        <w:t>保护</w:t>
      </w:r>
      <w:r>
        <w:t>范围和保护区、保护措施的要求。</w:t>
      </w:r>
    </w:p>
    <w:p>
      <w:pPr>
        <w:pStyle w:val="56"/>
        <w:ind w:firstLine="420"/>
        <w:rPr>
          <w:color w:val="0070C0"/>
        </w:rPr>
      </w:pPr>
      <w:r>
        <w:rPr>
          <w:rFonts w:hint="eastAsia"/>
        </w:rPr>
        <w:t>本文件适用于伊犁</w:t>
      </w:r>
      <w:r>
        <w:t>州行政区域内的电力设施保护</w:t>
      </w:r>
      <w:r>
        <w:rPr>
          <w:rFonts w:hint="eastAsia"/>
        </w:rPr>
        <w:t>及</w:t>
      </w:r>
      <w:r>
        <w:t>相关活动</w:t>
      </w:r>
      <w:r>
        <w:rPr>
          <w:rFonts w:hint="eastAsia"/>
        </w:rPr>
        <w:t>。</w:t>
      </w:r>
    </w:p>
    <w:p>
      <w:pPr>
        <w:pStyle w:val="104"/>
        <w:spacing w:before="312" w:after="312"/>
      </w:pPr>
      <w:bookmarkStart w:id="49" w:name="_Toc26986531"/>
      <w:bookmarkStart w:id="50" w:name="_Toc129035668"/>
      <w:bookmarkStart w:id="51" w:name="_Toc130918437"/>
      <w:bookmarkStart w:id="52" w:name="_Toc129027379"/>
      <w:bookmarkStart w:id="53" w:name="_Toc128388999"/>
      <w:bookmarkStart w:id="54" w:name="_Toc130915801"/>
      <w:bookmarkStart w:id="55" w:name="_Toc26986772"/>
      <w:bookmarkStart w:id="56" w:name="_Toc26718931"/>
      <w:bookmarkStart w:id="57" w:name="_Toc97191424"/>
      <w:r>
        <w:rPr>
          <w:rFonts w:hint="eastAsia"/>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bookmarkEnd w:id="57"/>
    </w:p>
    <w:sdt>
      <w:sdtPr>
        <w:rPr>
          <w:rFonts w:hint="eastAsia"/>
        </w:rPr>
        <w:id w:val="715848253"/>
        <w:placeholder>
          <w:docPart w:val="C60860083B4E4ED38322EEB276435BC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本文件没有规范性引用文件。</w:t>
          </w:r>
        </w:p>
      </w:sdtContent>
    </w:sdt>
    <w:p>
      <w:pPr>
        <w:pStyle w:val="104"/>
        <w:spacing w:before="312" w:after="312"/>
      </w:pPr>
      <w:bookmarkStart w:id="58" w:name="_Toc97191425"/>
      <w:bookmarkStart w:id="59" w:name="_Toc130918438"/>
      <w:bookmarkStart w:id="60" w:name="_Toc130915802"/>
      <w:bookmarkStart w:id="61" w:name="_Toc129027380"/>
      <w:bookmarkStart w:id="62" w:name="_Toc128389000"/>
      <w:bookmarkStart w:id="63" w:name="_Toc129035669"/>
      <w:r>
        <w:rPr>
          <w:rFonts w:hint="eastAsia"/>
          <w:szCs w:val="21"/>
        </w:rPr>
        <w:t>术语和定义</w:t>
      </w:r>
      <w:bookmarkEnd w:id="58"/>
      <w:bookmarkEnd w:id="59"/>
      <w:bookmarkEnd w:id="60"/>
      <w:bookmarkEnd w:id="61"/>
      <w:bookmarkEnd w:id="62"/>
      <w:bookmarkEnd w:id="63"/>
    </w:p>
    <w:sdt>
      <w:sdtPr>
        <w:id w:val="-1909835108"/>
        <w:placeholder>
          <w:docPart w:val="CFC1FD097C19416C89D966FFB9E4502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64" w:name="_Toc26986532"/>
          <w:bookmarkEnd w:id="64"/>
          <w:r>
            <w:t>下列术语和定义适用于本文件。</w:t>
          </w:r>
        </w:p>
      </w:sdtContent>
    </w:sdt>
    <w:p>
      <w:pPr>
        <w:pStyle w:val="223"/>
        <w:numPr>
          <w:ilvl w:val="2"/>
          <w:numId w:val="32"/>
        </w:numPr>
        <w:tabs>
          <w:tab w:val="left" w:pos="420"/>
        </w:tabs>
        <w:ind w:left="420" w:hanging="420" w:hangingChars="200"/>
        <w:rPr>
          <w:rFonts w:ascii="黑体" w:hAnsi="黑体" w:eastAsia="黑体"/>
        </w:rPr>
      </w:pPr>
      <w:r>
        <w:rPr>
          <w:rFonts w:hint="eastAsia" w:ascii="黑体" w:hAnsi="黑体" w:eastAsia="黑体"/>
        </w:rPr>
        <w:br w:type="textWrapping"/>
      </w:r>
      <w:r>
        <w:rPr>
          <w:rFonts w:hint="eastAsia" w:ascii="黑体" w:hAnsi="黑体" w:eastAsia="黑体"/>
        </w:rPr>
        <w:t xml:space="preserve">电力设施  </w:t>
      </w:r>
      <w:r>
        <w:rPr>
          <w:rFonts w:ascii="Times New Roman" w:eastAsia="黑体"/>
          <w:b/>
        </w:rPr>
        <w:t>power facility</w:t>
      </w:r>
    </w:p>
    <w:p>
      <w:pPr>
        <w:pStyle w:val="56"/>
        <w:ind w:firstLine="420"/>
      </w:pPr>
      <w:r>
        <w:rPr>
          <w:rFonts w:hint="eastAsia"/>
        </w:rPr>
        <w:t>已建、在建的发电、变电、电力线路、电力</w:t>
      </w:r>
      <w:r>
        <w:rPr>
          <w:rFonts w:hint="eastAsia"/>
          <w:color w:val="000000" w:themeColor="text1"/>
          <w14:textFill>
            <w14:solidFill>
              <w14:schemeClr w14:val="tx1"/>
            </w14:solidFill>
          </w14:textFill>
        </w:rPr>
        <w:t>调度设施、电力</w:t>
      </w:r>
      <w:r>
        <w:rPr>
          <w:color w:val="000000" w:themeColor="text1"/>
          <w14:textFill>
            <w14:solidFill>
              <w14:schemeClr w14:val="tx1"/>
            </w14:solidFill>
          </w14:textFill>
        </w:rPr>
        <w:t>专用通</w:t>
      </w:r>
      <w:r>
        <w:rPr>
          <w:rFonts w:hint="eastAsia"/>
          <w:color w:val="000000" w:themeColor="text1"/>
          <w14:textFill>
            <w14:solidFill>
              <w14:schemeClr w14:val="tx1"/>
            </w14:solidFill>
          </w14:textFill>
        </w:rPr>
        <w:t>信设施以及其他有关</w:t>
      </w:r>
      <w:r>
        <w:rPr>
          <w:rFonts w:hint="eastAsia"/>
        </w:rPr>
        <w:t>附属设施。</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破坏电力</w:t>
      </w:r>
      <w:r>
        <w:rPr>
          <w:rFonts w:ascii="黑体" w:hAnsi="黑体" w:eastAsia="黑体"/>
        </w:rPr>
        <w:t>设施</w:t>
      </w:r>
      <w:r>
        <w:rPr>
          <w:rFonts w:hint="eastAsia" w:ascii="黑体" w:hAnsi="黑体" w:eastAsia="黑体"/>
        </w:rPr>
        <w:t xml:space="preserve">  </w:t>
      </w:r>
      <w:r>
        <w:rPr>
          <w:rFonts w:ascii="Times New Roman" w:eastAsia="黑体"/>
          <w:b/>
        </w:rPr>
        <w:t>sabotage power facility</w:t>
      </w:r>
    </w:p>
    <w:p>
      <w:pPr>
        <w:pStyle w:val="56"/>
        <w:ind w:firstLine="420"/>
        <w:rPr>
          <w:rFonts w:ascii="Arial" w:hAnsi="Arial" w:cs="Arial"/>
          <w:color w:val="000000" w:themeColor="text1"/>
          <w:shd w:val="clear" w:color="auto" w:fill="FFFFFF"/>
          <w14:textFill>
            <w14:solidFill>
              <w14:schemeClr w14:val="tx1"/>
            </w14:solidFill>
          </w14:textFill>
        </w:rPr>
      </w:pPr>
      <w:r>
        <w:rPr>
          <w:rFonts w:ascii="Arial" w:hAnsi="Arial" w:cs="Arial"/>
          <w:color w:val="000000" w:themeColor="text1"/>
          <w:shd w:val="clear" w:color="auto" w:fill="FFFFFF"/>
          <w14:textFill>
            <w14:solidFill>
              <w14:schemeClr w14:val="tx1"/>
            </w14:solidFill>
          </w14:textFill>
        </w:rPr>
        <w:t>人们有意或无意实施的损毁、破坏电力设施行为，会造成线路的不安全现象或故障。</w:t>
      </w:r>
    </w:p>
    <w:p>
      <w:pPr>
        <w:pStyle w:val="179"/>
        <w:rPr>
          <w:rFonts w:hint="eastAsia"/>
          <w:color w:val="FF0000"/>
        </w:rPr>
      </w:pPr>
      <w:r>
        <w:rPr>
          <w:color w:val="000000" w:themeColor="text1"/>
          <w:shd w:val="clear" w:color="auto" w:fill="FFFFFF"/>
          <w14:textFill>
            <w14:solidFill>
              <w14:schemeClr w14:val="tx1"/>
            </w14:solidFill>
          </w14:textFill>
        </w:rPr>
        <w:t>主要有毁坏线路设备，蓄意制造事故，盗窃线路器材，工作疏忽大意或不清楚电业知识引起的故障，如</w:t>
      </w:r>
      <w:r>
        <w:rPr>
          <w:rFonts w:hint="eastAsia" w:ascii="Arial" w:hAnsi="Arial" w:cs="Arial"/>
          <w:color w:val="000000" w:themeColor="text1"/>
          <w:shd w:val="clear" w:color="auto" w:fill="FFFFFF"/>
          <w14:textFill>
            <w14:solidFill>
              <w14:schemeClr w14:val="tx1"/>
            </w14:solidFill>
          </w14:textFill>
        </w:rPr>
        <w:t>违章施工、违章建筑、树障、盗窃以及车辆冲撞、放风筝、钓鱼等。</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电力</w:t>
      </w:r>
      <w:r>
        <w:rPr>
          <w:rFonts w:ascii="黑体" w:hAnsi="黑体" w:eastAsia="黑体"/>
        </w:rPr>
        <w:t>设施</w:t>
      </w:r>
      <w:r>
        <w:rPr>
          <w:rFonts w:hint="eastAsia" w:ascii="黑体" w:hAnsi="黑体" w:eastAsia="黑体"/>
        </w:rPr>
        <w:t xml:space="preserve">保护  </w:t>
      </w:r>
      <w:r>
        <w:rPr>
          <w:rFonts w:ascii="Times New Roman" w:eastAsia="黑体"/>
          <w:b/>
        </w:rPr>
        <w:t>protection of power facility</w:t>
      </w:r>
    </w:p>
    <w:p>
      <w:pPr>
        <w:pStyle w:val="56"/>
        <w:ind w:firstLine="420"/>
      </w:pPr>
      <w:r>
        <w:rPr>
          <w:rFonts w:hint="eastAsia"/>
        </w:rPr>
        <w:t>防止电</w:t>
      </w:r>
      <w:r>
        <w:rPr>
          <w:rFonts w:hint="eastAsia"/>
          <w:color w:val="000000" w:themeColor="text1"/>
          <w14:textFill>
            <w14:solidFill>
              <w14:schemeClr w14:val="tx1"/>
            </w14:solidFill>
          </w14:textFill>
        </w:rPr>
        <w:t>力设施被破坏所开展的保护工作。</w:t>
      </w:r>
    </w:p>
    <w:p>
      <w:pPr>
        <w:pStyle w:val="179"/>
      </w:pPr>
      <w:r>
        <w:rPr>
          <w:rFonts w:hint="eastAsia"/>
        </w:rPr>
        <w:t>包括处于运行、备用、检修、停用和正在建设的电力设施。</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电力专用通信设施  </w:t>
      </w:r>
      <w:r>
        <w:rPr>
          <w:rFonts w:ascii="Times New Roman" w:eastAsia="黑体"/>
          <w:b/>
        </w:rPr>
        <w:t>special communication facility of power</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电力系统内部使用并对电力运行安全产生直接影响具有特殊要求的通信设施，例如:电力调度交换机、电力线载波机、电力特种光缆等。</w:t>
      </w:r>
    </w:p>
    <w:p>
      <w:pPr>
        <w:pStyle w:val="223"/>
        <w:ind w:left="420" w:hanging="420" w:hangingChars="200"/>
        <w:rPr>
          <w:rFonts w:ascii="Times New Roman" w:eastAsia="黑体"/>
          <w:b/>
        </w:rPr>
      </w:pPr>
      <w:r>
        <w:rPr>
          <w:rFonts w:ascii="黑体" w:hAnsi="黑体" w:eastAsia="黑体"/>
        </w:rPr>
        <w:br w:type="textWrapping"/>
      </w:r>
      <w:r>
        <w:rPr>
          <w:rFonts w:hint="eastAsia" w:ascii="黑体" w:hAnsi="黑体" w:eastAsia="黑体"/>
        </w:rPr>
        <w:t>电力</w:t>
      </w:r>
      <w:r>
        <w:rPr>
          <w:rFonts w:ascii="黑体" w:hAnsi="黑体" w:eastAsia="黑体"/>
        </w:rPr>
        <w:t>设施保护区</w:t>
      </w:r>
      <w:r>
        <w:rPr>
          <w:rFonts w:hint="eastAsia" w:ascii="黑体" w:hAnsi="黑体" w:eastAsia="黑体"/>
        </w:rPr>
        <w:t xml:space="preserve">  </w:t>
      </w:r>
      <w:r>
        <w:rPr>
          <w:rFonts w:ascii="Times New Roman" w:eastAsia="黑体"/>
          <w:b/>
        </w:rPr>
        <w:t>power facility protection are</w:t>
      </w:r>
    </w:p>
    <w:p>
      <w:pPr>
        <w:pStyle w:val="56"/>
        <w:ind w:firstLine="420"/>
        <w:rPr>
          <w:rFonts w:hint="eastAsia"/>
          <w:color w:val="FF0000"/>
        </w:rPr>
      </w:pPr>
      <w:r>
        <w:rPr>
          <w:rFonts w:hint="eastAsia" w:ascii="Arial" w:hAnsi="Arial" w:cs="Arial"/>
          <w:color w:val="191919"/>
          <w:shd w:val="clear" w:color="auto" w:fill="FFFFFF"/>
        </w:rPr>
        <w:t>国家为了保护电力设施的安全，依法在电力设施周围或沿线划定区域，在此区域内禁止从事某些行为。</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电力</w:t>
      </w:r>
      <w:r>
        <w:rPr>
          <w:rFonts w:ascii="黑体" w:hAnsi="黑体" w:eastAsia="黑体"/>
        </w:rPr>
        <w:t>企业</w:t>
      </w:r>
      <w:r>
        <w:rPr>
          <w:rFonts w:hint="eastAsia" w:ascii="黑体" w:hAnsi="黑体" w:eastAsia="黑体"/>
        </w:rPr>
        <w:t xml:space="preserve"> </w:t>
      </w:r>
      <w:r>
        <w:rPr>
          <w:rFonts w:ascii="黑体" w:hAnsi="黑体" w:eastAsia="黑体"/>
        </w:rPr>
        <w:t xml:space="preserve"> </w:t>
      </w:r>
      <w:r>
        <w:rPr>
          <w:rFonts w:ascii="Times New Roman" w:eastAsia="黑体"/>
          <w:b/>
        </w:rPr>
        <w:t>electric power enterprise</w:t>
      </w:r>
    </w:p>
    <w:p>
      <w:pPr>
        <w:pStyle w:val="56"/>
        <w:tabs>
          <w:tab w:val="left" w:pos="5190"/>
        </w:tabs>
        <w:ind w:firstLine="420"/>
        <w:rPr>
          <w:b/>
          <w:color w:val="000000" w:themeColor="text1"/>
          <w14:textFill>
            <w14:solidFill>
              <w14:schemeClr w14:val="tx1"/>
            </w14:solidFill>
          </w14:textFill>
        </w:rPr>
      </w:pPr>
      <w:r>
        <w:rPr>
          <w:rFonts w:ascii="Helvetica" w:hAnsi="Helvetica"/>
          <w:color w:val="000000" w:themeColor="text1"/>
          <w:szCs w:val="21"/>
          <w:shd w:val="clear" w:color="auto" w:fill="FFFFFF"/>
          <w14:textFill>
            <w14:solidFill>
              <w14:schemeClr w14:val="tx1"/>
            </w14:solidFill>
          </w14:textFill>
        </w:rPr>
        <w:t>以发电、输变电、供电、电力调度、电力检修、电力试验、电力建设等为主要业务的企业（单位）。</w:t>
      </w:r>
    </w:p>
    <w:p>
      <w:pPr>
        <w:pStyle w:val="104"/>
        <w:spacing w:before="312" w:after="312"/>
      </w:pPr>
      <w:bookmarkStart w:id="65" w:name="_Toc128389001"/>
      <w:bookmarkStart w:id="66" w:name="_Toc130918439"/>
      <w:bookmarkStart w:id="67" w:name="_Toc129027381"/>
      <w:bookmarkStart w:id="68" w:name="_Toc130915803"/>
      <w:bookmarkStart w:id="69" w:name="_Toc129035670"/>
      <w:r>
        <w:rPr>
          <w:rFonts w:hint="eastAsia"/>
        </w:rPr>
        <w:t>基本原则</w:t>
      </w:r>
      <w:bookmarkEnd w:id="65"/>
      <w:bookmarkEnd w:id="66"/>
      <w:bookmarkEnd w:id="67"/>
      <w:bookmarkEnd w:id="68"/>
      <w:bookmarkEnd w:id="69"/>
    </w:p>
    <w:p>
      <w:pPr>
        <w:pStyle w:val="56"/>
        <w:ind w:firstLine="420"/>
        <w:rPr>
          <w:strike/>
        </w:rPr>
      </w:pPr>
      <w:r>
        <w:rPr>
          <w:rFonts w:hint="eastAsia"/>
        </w:rPr>
        <w:t>电力设施的保护坚持安全第一、预防为主、综合治理的</w:t>
      </w:r>
      <w:r>
        <w:t>宗旨</w:t>
      </w:r>
      <w:r>
        <w:rPr>
          <w:rFonts w:hint="eastAsia"/>
        </w:rPr>
        <w:t>；实行政府、电力企业和人民群众相结合的原则。</w:t>
      </w:r>
    </w:p>
    <w:p>
      <w:pPr>
        <w:pStyle w:val="104"/>
        <w:spacing w:before="312" w:after="312"/>
      </w:pPr>
      <w:bookmarkStart w:id="70" w:name="_Toc129035671"/>
      <w:bookmarkStart w:id="71" w:name="_Toc130915804"/>
      <w:bookmarkStart w:id="72" w:name="_Toc128389002"/>
      <w:bookmarkStart w:id="73" w:name="_Toc130918440"/>
      <w:bookmarkStart w:id="74" w:name="_Toc129027382"/>
      <w:r>
        <w:rPr>
          <w:rFonts w:hint="eastAsia"/>
        </w:rPr>
        <w:t>职责</w:t>
      </w:r>
      <w:r>
        <w:t>分工</w:t>
      </w:r>
      <w:bookmarkEnd w:id="70"/>
      <w:bookmarkEnd w:id="71"/>
      <w:bookmarkEnd w:id="72"/>
      <w:bookmarkEnd w:id="73"/>
      <w:bookmarkEnd w:id="74"/>
    </w:p>
    <w:p>
      <w:pPr>
        <w:pStyle w:val="162"/>
        <w:rPr>
          <w:rFonts w:ascii="黑体" w:eastAsia="黑体"/>
        </w:rPr>
      </w:pPr>
      <w:r>
        <w:rPr>
          <w:rFonts w:hint="eastAsia"/>
        </w:rPr>
        <w:t>县级</w:t>
      </w:r>
      <w:r>
        <w:rPr>
          <w:rFonts w:hint="eastAsia"/>
          <w:lang w:val="en-US" w:eastAsia="zh-CN"/>
        </w:rPr>
        <w:t>及</w:t>
      </w:r>
      <w:bookmarkStart w:id="169" w:name="_GoBack"/>
      <w:bookmarkEnd w:id="169"/>
      <w:r>
        <w:rPr>
          <w:rFonts w:hint="eastAsia"/>
        </w:rPr>
        <w:t>以上人民政府应加强电力设施保护工作的组织领导，建立电力设施保护工作协调机制，宜建立</w:t>
      </w:r>
      <w:r>
        <w:t>设施保护领导小组</w:t>
      </w:r>
      <w:r>
        <w:rPr>
          <w:rFonts w:hint="eastAsia"/>
        </w:rPr>
        <w:t>，</w:t>
      </w:r>
      <w:r>
        <w:t>明确各部门</w:t>
      </w:r>
      <w:r>
        <w:rPr>
          <w:rFonts w:hint="eastAsia"/>
        </w:rPr>
        <w:t>电力相关</w:t>
      </w:r>
      <w:r>
        <w:t>职责</w:t>
      </w:r>
      <w:r>
        <w:rPr>
          <w:rFonts w:hint="eastAsia"/>
        </w:rPr>
        <w:t>，并将电力设施保护纳入社会治安综合治理目标责任制。</w:t>
      </w:r>
    </w:p>
    <w:p>
      <w:pPr>
        <w:pStyle w:val="162"/>
      </w:pPr>
      <w:r>
        <w:rPr>
          <w:rFonts w:hint="eastAsia"/>
        </w:rPr>
        <w:t>电力行政主管部门负责本行政区域内电力设施保护的监督、</w:t>
      </w:r>
      <w:r>
        <w:t>检查</w:t>
      </w:r>
      <w:r>
        <w:rPr>
          <w:rFonts w:hint="eastAsia"/>
        </w:rPr>
        <w:t>、指导</w:t>
      </w:r>
      <w:r>
        <w:t>和协调</w:t>
      </w:r>
      <w:r>
        <w:rPr>
          <w:rFonts w:hint="eastAsia"/>
        </w:rPr>
        <w:t>工作，具体履行以下职责：</w:t>
      </w:r>
    </w:p>
    <w:p>
      <w:pPr>
        <w:pStyle w:val="174"/>
        <w:rPr>
          <w:color w:val="000000" w:themeColor="text1"/>
          <w14:textFill>
            <w14:solidFill>
              <w14:schemeClr w14:val="tx1"/>
            </w14:solidFill>
          </w14:textFill>
        </w:rPr>
      </w:pPr>
      <w:r>
        <w:rPr>
          <w:rFonts w:hint="eastAsia"/>
          <w:color w:val="000000" w:themeColor="text1"/>
          <w14:textFill>
            <w14:solidFill>
              <w14:schemeClr w14:val="tx1"/>
            </w14:solidFill>
          </w14:textFill>
        </w:rPr>
        <w:t>建立电力设施保护工作管理体系，确定、协调有关部门在电力设施保护工作中的责任和关系；</w:t>
      </w:r>
    </w:p>
    <w:p>
      <w:pPr>
        <w:pStyle w:val="174"/>
        <w:rPr>
          <w:color w:val="000000" w:themeColor="text1"/>
          <w14:textFill>
            <w14:solidFill>
              <w14:schemeClr w14:val="tx1"/>
            </w14:solidFill>
          </w14:textFill>
        </w:rPr>
      </w:pPr>
      <w:r>
        <w:rPr>
          <w:rFonts w:hint="eastAsia"/>
          <w:color w:val="000000" w:themeColor="text1"/>
          <w14:textFill>
            <w14:solidFill>
              <w14:schemeClr w14:val="tx1"/>
            </w14:solidFill>
          </w14:textFill>
        </w:rPr>
        <w:t>受理违反电力设施保护相关法律、法规行为的举报和投诉；</w:t>
      </w:r>
    </w:p>
    <w:p>
      <w:pPr>
        <w:pStyle w:val="174"/>
        <w:rPr>
          <w:color w:val="000000" w:themeColor="text1"/>
          <w14:textFill>
            <w14:solidFill>
              <w14:schemeClr w14:val="tx1"/>
            </w14:solidFill>
          </w14:textFill>
        </w:rPr>
      </w:pPr>
      <w:r>
        <w:rPr>
          <w:rFonts w:hint="eastAsia"/>
          <w:color w:val="000000" w:themeColor="text1"/>
          <w14:textFill>
            <w14:solidFill>
              <w14:schemeClr w14:val="tx1"/>
            </w14:solidFill>
          </w14:textFill>
        </w:rPr>
        <w:t>表彰、奖励在电力设施保护工作中做出显著成绩的单位和个人。</w:t>
      </w:r>
    </w:p>
    <w:p>
      <w:pPr>
        <w:pStyle w:val="162"/>
      </w:pPr>
      <w:r>
        <w:rPr>
          <w:rFonts w:hint="eastAsia"/>
        </w:rPr>
        <w:t>公安机关应与电力企业共同建立健全警企联合保护电力设施的工作机制，对危害电力设施安全的行为依法处置，并负责查处破坏电力设施或者哄抢、盗窃电力设施器材的案件。</w:t>
      </w:r>
    </w:p>
    <w:p>
      <w:pPr>
        <w:pStyle w:val="162"/>
      </w:pPr>
      <w:r>
        <w:rPr>
          <w:rFonts w:hint="eastAsia"/>
        </w:rPr>
        <w:t>发展和改革、住房和城乡建设、工信</w:t>
      </w:r>
      <w:r>
        <w:t>、</w:t>
      </w:r>
      <w:r>
        <w:rPr>
          <w:rFonts w:hint="eastAsia"/>
        </w:rPr>
        <w:t>应急管理、国土资源、交通运输、水利、林业、农机</w:t>
      </w:r>
      <w:r>
        <w:t>、</w:t>
      </w:r>
      <w:r>
        <w:rPr>
          <w:rFonts w:hint="eastAsia"/>
        </w:rPr>
        <w:t>市场监管、</w:t>
      </w:r>
      <w:r>
        <w:t>商务</w:t>
      </w:r>
      <w:r>
        <w:rPr>
          <w:rFonts w:hint="eastAsia"/>
        </w:rPr>
        <w:t>等部门，应按照各自职责，做好电力设施保护的相关工作。</w:t>
      </w:r>
    </w:p>
    <w:p>
      <w:pPr>
        <w:pStyle w:val="162"/>
      </w:pPr>
      <w:r>
        <w:rPr>
          <w:rFonts w:hint="eastAsia"/>
        </w:rPr>
        <w:t>乡（镇）人民政府、街道办事处（村委会）应协助电力行政主管部门及其他有关部门配合做好本辖区内的电力设施保护工作，加强保护电力设施的宣传教育。</w:t>
      </w:r>
    </w:p>
    <w:p>
      <w:pPr>
        <w:pStyle w:val="162"/>
      </w:pPr>
      <w:r>
        <w:rPr>
          <w:rFonts w:hint="eastAsia"/>
        </w:rPr>
        <w:t>电力企业应依法履行电力设施保护的责任，确保电力设施的正常运行。电力企业应配合政府有关部门对危害电力设施安全的行为依法采取措施，妥善处理。</w:t>
      </w:r>
    </w:p>
    <w:p>
      <w:pPr>
        <w:pStyle w:val="162"/>
        <w:rPr>
          <w:color w:val="000000" w:themeColor="text1"/>
          <w14:textFill>
            <w14:solidFill>
              <w14:schemeClr w14:val="tx1"/>
            </w14:solidFill>
          </w14:textFill>
        </w:rPr>
      </w:pPr>
      <w:r>
        <w:rPr>
          <w:rFonts w:hint="eastAsia"/>
          <w:color w:val="000000" w:themeColor="text1"/>
          <w14:textFill>
            <w14:solidFill>
              <w14:schemeClr w14:val="tx1"/>
            </w14:solidFill>
          </w14:textFill>
        </w:rPr>
        <w:t>任何单位和个人因</w:t>
      </w:r>
      <w:r>
        <w:rPr>
          <w:color w:val="000000" w:themeColor="text1"/>
          <w14:textFill>
            <w14:solidFill>
              <w14:schemeClr w14:val="tx1"/>
            </w14:solidFill>
          </w14:textFill>
        </w:rPr>
        <w:t>生产经营等行为对电力设施产生危害的</w:t>
      </w:r>
      <w:r>
        <w:rPr>
          <w:rFonts w:hint="eastAsia"/>
          <w:color w:val="000000" w:themeColor="text1"/>
          <w14:textFill>
            <w14:solidFill>
              <w14:schemeClr w14:val="tx1"/>
            </w14:solidFill>
          </w14:textFill>
        </w:rPr>
        <w:t>，按照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谁产生、</w:t>
      </w:r>
      <w:r>
        <w:rPr>
          <w:color w:val="000000" w:themeColor="text1"/>
          <w14:textFill>
            <w14:solidFill>
              <w14:schemeClr w14:val="tx1"/>
            </w14:solidFill>
          </w14:textFill>
        </w:rPr>
        <w:t>谁消除”</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原则</w:t>
      </w:r>
      <w:r>
        <w:rPr>
          <w:rFonts w:hint="eastAsia"/>
          <w:color w:val="000000" w:themeColor="text1"/>
          <w14:textFill>
            <w14:solidFill>
              <w14:schemeClr w14:val="tx1"/>
            </w14:solidFill>
          </w14:textFill>
        </w:rPr>
        <w:t>，应配合</w:t>
      </w:r>
      <w:r>
        <w:rPr>
          <w:color w:val="000000" w:themeColor="text1"/>
          <w14:textFill>
            <w14:solidFill>
              <w14:schemeClr w14:val="tx1"/>
            </w14:solidFill>
          </w14:textFill>
        </w:rPr>
        <w:t>相关电力</w:t>
      </w:r>
      <w:r>
        <w:rPr>
          <w:rFonts w:hint="eastAsia"/>
          <w:color w:val="000000" w:themeColor="text1"/>
          <w14:textFill>
            <w14:solidFill>
              <w14:schemeClr w14:val="tx1"/>
            </w14:solidFill>
          </w14:textFill>
        </w:rPr>
        <w:t>企业</w:t>
      </w:r>
      <w:r>
        <w:rPr>
          <w:color w:val="000000" w:themeColor="text1"/>
          <w14:textFill>
            <w14:solidFill>
              <w14:schemeClr w14:val="tx1"/>
            </w14:solidFill>
          </w14:textFill>
        </w:rPr>
        <w:t>消除</w:t>
      </w:r>
      <w:r>
        <w:rPr>
          <w:rFonts w:hint="eastAsia"/>
          <w:color w:val="000000" w:themeColor="text1"/>
          <w14:textFill>
            <w14:solidFill>
              <w14:schemeClr w14:val="tx1"/>
            </w14:solidFill>
          </w14:textFill>
        </w:rPr>
        <w:t>危险</w:t>
      </w:r>
      <w:r>
        <w:rPr>
          <w:color w:val="000000" w:themeColor="text1"/>
          <w14:textFill>
            <w14:solidFill>
              <w14:schemeClr w14:val="tx1"/>
            </w14:solidFill>
          </w14:textFill>
        </w:rPr>
        <w:t>、危害</w:t>
      </w:r>
      <w:r>
        <w:rPr>
          <w:rFonts w:hint="eastAsia"/>
          <w:color w:val="000000" w:themeColor="text1"/>
          <w14:textFill>
            <w14:solidFill>
              <w14:schemeClr w14:val="tx1"/>
            </w14:solidFill>
          </w14:textFill>
        </w:rPr>
        <w:t>隐患。</w:t>
      </w:r>
    </w:p>
    <w:p>
      <w:pPr>
        <w:pStyle w:val="162"/>
      </w:pPr>
      <w:r>
        <w:rPr>
          <w:rFonts w:hint="eastAsia"/>
        </w:rPr>
        <w:t>任何单位和个人都有保护电力设施的义务，对危害电力设施的行为，有权制止并向电力行政主管部门、公安部门举报。</w:t>
      </w:r>
    </w:p>
    <w:p>
      <w:pPr>
        <w:pStyle w:val="104"/>
        <w:spacing w:before="312" w:after="312"/>
      </w:pPr>
      <w:bookmarkStart w:id="75" w:name="_Toc130915805"/>
      <w:bookmarkStart w:id="76" w:name="_Toc129035672"/>
      <w:bookmarkStart w:id="77" w:name="_Toc128389004"/>
      <w:bookmarkStart w:id="78" w:name="_Toc130918441"/>
      <w:bookmarkStart w:id="79" w:name="_Toc129027383"/>
      <w:r>
        <w:rPr>
          <w:rFonts w:hint="eastAsia"/>
        </w:rPr>
        <w:t>总体规划</w:t>
      </w:r>
      <w:bookmarkEnd w:id="75"/>
      <w:bookmarkEnd w:id="76"/>
      <w:bookmarkEnd w:id="77"/>
      <w:bookmarkEnd w:id="78"/>
      <w:bookmarkEnd w:id="79"/>
    </w:p>
    <w:p>
      <w:pPr>
        <w:pStyle w:val="162"/>
        <w:rPr>
          <w:color w:val="000000" w:themeColor="text1"/>
          <w14:textFill>
            <w14:solidFill>
              <w14:schemeClr w14:val="tx1"/>
            </w14:solidFill>
          </w14:textFill>
        </w:rPr>
      </w:pPr>
      <w:bookmarkStart w:id="80" w:name="_Toc128389005"/>
      <w:r>
        <w:rPr>
          <w:rFonts w:hint="eastAsia"/>
        </w:rPr>
        <w:t>县级以上人民政府应将城乡电网建</w:t>
      </w:r>
      <w:r>
        <w:rPr>
          <w:rFonts w:hint="eastAsia"/>
          <w:color w:val="000000" w:themeColor="text1"/>
          <w14:textFill>
            <w14:solidFill>
              <w14:schemeClr w14:val="tx1"/>
            </w14:solidFill>
          </w14:textFill>
        </w:rPr>
        <w:t>设、改造规划纳入城乡建设总体规划。电力行政主管部门应会同住房和城乡建设等有关部门、电力企业编制城乡电网建设与改造规划，经本级人民政府批准后实施。</w:t>
      </w:r>
    </w:p>
    <w:p>
      <w:pPr>
        <w:pStyle w:val="162"/>
        <w:rPr>
          <w:color w:val="000000" w:themeColor="text1"/>
          <w14:textFill>
            <w14:solidFill>
              <w14:schemeClr w14:val="tx1"/>
            </w14:solidFill>
          </w14:textFill>
        </w:rPr>
      </w:pPr>
      <w:r>
        <w:rPr>
          <w:rFonts w:hint="eastAsia"/>
          <w:color w:val="000000" w:themeColor="text1"/>
          <w14:textFill>
            <w14:solidFill>
              <w14:schemeClr w14:val="tx1"/>
            </w14:solidFill>
          </w14:textFill>
        </w:rPr>
        <w:t>电力企业应按照规划做好电力设施建设与改造工作。</w:t>
      </w:r>
    </w:p>
    <w:p>
      <w:pPr>
        <w:pStyle w:val="162"/>
        <w:rPr>
          <w:rFonts w:ascii="黑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县级以上人民政府应按照城乡建设总体规划和土地利用总体规划，统筹安排城乡变电站、配电站等供用电设施和输配电线路走廊、电缆通道用地，保障</w:t>
      </w:r>
      <w:r>
        <w:rPr>
          <w:color w:val="000000" w:themeColor="text1"/>
          <w14:textFill>
            <w14:solidFill>
              <w14:schemeClr w14:val="tx1"/>
            </w14:solidFill>
          </w14:textFill>
        </w:rPr>
        <w:t>电力设施的安全</w:t>
      </w:r>
      <w:r>
        <w:rPr>
          <w:rFonts w:hint="eastAsia"/>
          <w:color w:val="000000" w:themeColor="text1"/>
          <w14:textFill>
            <w14:solidFill>
              <w14:schemeClr w14:val="tx1"/>
            </w14:solidFill>
          </w14:textFill>
        </w:rPr>
        <w:t>稳定</w:t>
      </w:r>
      <w:r>
        <w:rPr>
          <w:color w:val="000000" w:themeColor="text1"/>
          <w14:textFill>
            <w14:solidFill>
              <w14:schemeClr w14:val="tx1"/>
            </w14:solidFill>
          </w14:textFill>
        </w:rPr>
        <w:t>运行。</w:t>
      </w:r>
    </w:p>
    <w:bookmarkEnd w:id="80"/>
    <w:p>
      <w:pPr>
        <w:pStyle w:val="104"/>
        <w:spacing w:before="312" w:after="312"/>
      </w:pPr>
      <w:bookmarkStart w:id="81" w:name="_Toc129027384"/>
      <w:bookmarkStart w:id="82" w:name="_Toc128389006"/>
      <w:bookmarkStart w:id="83" w:name="_Toc130915806"/>
      <w:bookmarkStart w:id="84" w:name="_Toc130918442"/>
      <w:bookmarkStart w:id="85" w:name="_Toc129035673"/>
      <w:r>
        <w:rPr>
          <w:rFonts w:hint="eastAsia"/>
        </w:rPr>
        <w:t>设施</w:t>
      </w:r>
      <w:r>
        <w:t>建设</w:t>
      </w:r>
      <w:bookmarkEnd w:id="81"/>
      <w:bookmarkEnd w:id="82"/>
      <w:bookmarkEnd w:id="83"/>
      <w:bookmarkEnd w:id="84"/>
      <w:bookmarkEnd w:id="85"/>
    </w:p>
    <w:p>
      <w:pPr>
        <w:pStyle w:val="162"/>
      </w:pPr>
      <w:r>
        <w:rPr>
          <w:rFonts w:hint="eastAsia"/>
        </w:rPr>
        <w:t>新建、改建、扩建电力设施，应坚持保护耕地、合理利用土地的原则。应满足防洪、抗震要求，合理</w:t>
      </w:r>
      <w:r>
        <w:rPr>
          <w:rFonts w:hint="eastAsia"/>
          <w:color w:val="000000" w:themeColor="text1"/>
          <w14:textFill>
            <w14:solidFill>
              <w14:schemeClr w14:val="tx1"/>
            </w14:solidFill>
          </w14:textFill>
        </w:rPr>
        <w:t>避让易</w:t>
      </w:r>
      <w:r>
        <w:rPr>
          <w:rFonts w:hint="eastAsia"/>
        </w:rPr>
        <w:t>燃、易爆物品的建筑物、堆场、仓库、</w:t>
      </w:r>
      <w:r>
        <w:t>管道</w:t>
      </w:r>
      <w:r>
        <w:rPr>
          <w:rFonts w:hint="eastAsia"/>
        </w:rPr>
        <w:t>等。电力设施项目使用土地，应依照有关法律、法规办理；依法征用土地的，应支付土地补偿费和安置补偿费。</w:t>
      </w:r>
    </w:p>
    <w:p>
      <w:pPr>
        <w:pStyle w:val="162"/>
      </w:pPr>
      <w:r>
        <w:rPr>
          <w:rFonts w:hint="eastAsia"/>
        </w:rPr>
        <w:t>铁路、公路、水利、电信、航运、城市道路、桥梁、涵洞、管线等设施后于电力设施建设（包括改建、扩建）的，不应危及电力设施安全。确需迁移电力设施或者采取必要保护措施的，建设单位应与电力企业达成协议后，方可进行。</w:t>
      </w:r>
    </w:p>
    <w:p>
      <w:pPr>
        <w:pStyle w:val="162"/>
      </w:pPr>
      <w:r>
        <w:rPr>
          <w:rFonts w:hint="eastAsia"/>
        </w:rPr>
        <w:t>城市公用设施、城市绿化和其他工程在新建、改建或扩建中妨碍电力设施时，或电力设施在新建、改建或扩建中妨碍城市公用设施、城市绿化和其他工程时，双方应按有关规定协商，就迁移、采取必要的防护措施和补偿等问题达成协议后方可施工。</w:t>
      </w:r>
    </w:p>
    <w:p>
      <w:pPr>
        <w:pStyle w:val="162"/>
      </w:pPr>
      <w:r>
        <w:rPr>
          <w:rFonts w:hint="eastAsia"/>
        </w:rPr>
        <w:t>新建、改建、扩建电力设施，应与周围已有建筑物、构筑物保持符合规定的安全距离。确需迁移已有建筑物、构筑物或者采取必要保护措施的，电力企业应与建筑物、构筑物所有者对迁移、保护措施和补偿等事项达成协议后，方可施工。</w:t>
      </w:r>
    </w:p>
    <w:p>
      <w:pPr>
        <w:pStyle w:val="162"/>
      </w:pPr>
      <w:r>
        <w:rPr>
          <w:rFonts w:hint="eastAsia"/>
        </w:rPr>
        <w:t>新建架空电力线路不应跨越储存易燃、易爆物品仓库的区域；不应跨越房屋，特殊情况需要跨越房屋时，电力企业应与房屋产权所有者达成协议，并采取安全措施保证被跨越房屋的安全，被跨越房屋不应再行增加高度。</w:t>
      </w:r>
    </w:p>
    <w:p>
      <w:pPr>
        <w:pStyle w:val="162"/>
        <w:rPr>
          <w:rFonts w:hint="eastAsia"/>
        </w:rPr>
      </w:pPr>
      <w:r>
        <w:rPr>
          <w:rFonts w:hint="eastAsia"/>
        </w:rPr>
        <w:t>新建110</w:t>
      </w:r>
      <w:r>
        <w:t xml:space="preserve"> </w:t>
      </w:r>
      <w:r>
        <w:rPr>
          <w:rFonts w:hint="eastAsia"/>
        </w:rPr>
        <w:t>k</w:t>
      </w:r>
      <w:r>
        <w:t>V</w:t>
      </w:r>
      <w:r>
        <w:rPr>
          <w:rFonts w:hint="eastAsia"/>
        </w:rPr>
        <w:t>及以上电力线</w:t>
      </w:r>
      <w:r>
        <w:rPr>
          <w:rFonts w:hint="eastAsia"/>
          <w:color w:val="000000" w:themeColor="text1"/>
          <w14:textFill>
            <w14:solidFill>
              <w14:schemeClr w14:val="tx1"/>
            </w14:solidFill>
          </w14:textFill>
        </w:rPr>
        <w:t>路，不宜穿越</w:t>
      </w:r>
      <w:r>
        <w:rPr>
          <w:rFonts w:hint="eastAsia"/>
        </w:rPr>
        <w:t>城市中心地区或者重要风景旅游区。</w:t>
      </w:r>
    </w:p>
    <w:p>
      <w:pPr>
        <w:pStyle w:val="104"/>
        <w:spacing w:before="312" w:after="312"/>
      </w:pPr>
      <w:bookmarkStart w:id="86" w:name="_Toc129027387"/>
      <w:bookmarkStart w:id="87" w:name="_Toc128389007"/>
      <w:bookmarkStart w:id="88" w:name="_Toc130915807"/>
      <w:bookmarkStart w:id="89" w:name="_Toc129035676"/>
      <w:bookmarkStart w:id="90" w:name="_Toc130918443"/>
      <w:r>
        <w:rPr>
          <w:rFonts w:hint="eastAsia"/>
        </w:rPr>
        <w:t>保护范围和</w:t>
      </w:r>
      <w:r>
        <w:t>保护区</w:t>
      </w:r>
      <w:bookmarkEnd w:id="86"/>
      <w:bookmarkEnd w:id="87"/>
      <w:bookmarkEnd w:id="88"/>
      <w:bookmarkEnd w:id="89"/>
      <w:bookmarkEnd w:id="90"/>
    </w:p>
    <w:p>
      <w:pPr>
        <w:pStyle w:val="105"/>
        <w:spacing w:before="156" w:after="156"/>
      </w:pPr>
      <w:bookmarkStart w:id="91" w:name="_Toc130918444"/>
      <w:bookmarkStart w:id="92" w:name="_Toc129027388"/>
      <w:bookmarkStart w:id="93" w:name="_Toc128389008"/>
      <w:bookmarkStart w:id="94" w:name="_Toc130915808"/>
      <w:bookmarkStart w:id="95" w:name="_Toc129035677"/>
      <w:r>
        <w:rPr>
          <w:rFonts w:hint="eastAsia"/>
        </w:rPr>
        <w:t>电力</w:t>
      </w:r>
      <w:r>
        <w:t>设施</w:t>
      </w:r>
      <w:r>
        <w:rPr>
          <w:rFonts w:hint="eastAsia"/>
        </w:rPr>
        <w:t>保护范围</w:t>
      </w:r>
      <w:bookmarkEnd w:id="91"/>
      <w:bookmarkEnd w:id="92"/>
      <w:bookmarkEnd w:id="93"/>
      <w:bookmarkEnd w:id="94"/>
      <w:bookmarkEnd w:id="95"/>
    </w:p>
    <w:p>
      <w:pPr>
        <w:pStyle w:val="65"/>
        <w:spacing w:before="156" w:after="156"/>
      </w:pPr>
      <w:bookmarkStart w:id="96" w:name="_Toc130918445"/>
      <w:r>
        <w:rPr>
          <w:rFonts w:hint="eastAsia"/>
        </w:rPr>
        <w:t>发电、变电设施</w:t>
      </w:r>
      <w:bookmarkEnd w:id="96"/>
    </w:p>
    <w:p>
      <w:pPr>
        <w:pStyle w:val="164"/>
      </w:pPr>
      <w:r>
        <w:rPr>
          <w:rFonts w:hint="eastAsia"/>
        </w:rPr>
        <w:t>发电厂、变电站、换流站、开关站等厂、站内的设施。</w:t>
      </w:r>
    </w:p>
    <w:p>
      <w:pPr>
        <w:pStyle w:val="164"/>
      </w:pPr>
      <w:r>
        <w:rPr>
          <w:rFonts w:hint="eastAsia"/>
        </w:rPr>
        <w:t>发电厂、变电站外各种专用的管道（沟）、储灰场、水井、泵站、冷却水塔、油库、堤坝、铁路、道路、桥梁、码头、燃料装卸设施、避雷装置、消防设施及其有关辅助设施。</w:t>
      </w:r>
    </w:p>
    <w:p>
      <w:pPr>
        <w:pStyle w:val="164"/>
      </w:pPr>
      <w:r>
        <w:rPr>
          <w:rFonts w:hint="eastAsia"/>
        </w:rPr>
        <w:t>风力发电站风机、铁塔、塔下电子箱、联网设施及其辅助设施。</w:t>
      </w:r>
    </w:p>
    <w:p>
      <w:pPr>
        <w:pStyle w:val="164"/>
      </w:pPr>
      <w:r>
        <w:rPr>
          <w:rFonts w:hint="eastAsia"/>
        </w:rPr>
        <w:t>水力发电厂使用的水库、大坝、取水口、引水隧道（含支洞口）、引水渠道、调压井（塔）、露天高压管道、厂房、尾水渠、厂房与大坝间的通信设施及其有关辅助设施。</w:t>
      </w:r>
    </w:p>
    <w:p>
      <w:pPr>
        <w:pStyle w:val="164"/>
      </w:pPr>
      <w:r>
        <w:rPr>
          <w:rFonts w:hint="eastAsia"/>
        </w:rPr>
        <w:t>为电动汽车提供电能的各种充（换）电站、电池配送站、充电桩及其有关辅助设施。</w:t>
      </w:r>
    </w:p>
    <w:p>
      <w:pPr>
        <w:pStyle w:val="164"/>
        <w:rPr>
          <w:rFonts w:ascii="黑体" w:eastAsia="黑体"/>
        </w:rPr>
      </w:pPr>
      <w:r>
        <w:rPr>
          <w:rFonts w:hint="eastAsia"/>
        </w:rPr>
        <w:t>太阳能光能发电使用的太阳能电池组、控制器、蓄电池、逆变器及其他有关附属设施，太阳能热能发电系统及其他有关附属设施。</w:t>
      </w:r>
    </w:p>
    <w:p>
      <w:pPr>
        <w:pStyle w:val="65"/>
        <w:spacing w:before="156" w:after="156"/>
      </w:pPr>
      <w:bookmarkStart w:id="97" w:name="_Toc130918446"/>
      <w:r>
        <w:rPr>
          <w:rFonts w:hint="eastAsia"/>
        </w:rPr>
        <w:t>电力线路设施</w:t>
      </w:r>
      <w:bookmarkEnd w:id="97"/>
    </w:p>
    <w:p>
      <w:pPr>
        <w:pStyle w:val="164"/>
        <w:rPr>
          <w:color w:val="000000" w:themeColor="text1"/>
          <w14:textFill>
            <w14:solidFill>
              <w14:schemeClr w14:val="tx1"/>
            </w14:solidFill>
          </w14:textFill>
        </w:rPr>
      </w:pPr>
      <w:r>
        <w:rPr>
          <w:rFonts w:hint="eastAsia"/>
        </w:rPr>
        <w:t>架空电力线路：杆塔、基础、拉线、接地装置、导线</w:t>
      </w:r>
      <w:r>
        <w:rPr>
          <w:rFonts w:hint="eastAsia"/>
          <w:color w:val="000000" w:themeColor="text1"/>
          <w14:textFill>
            <w14:solidFill>
              <w14:schemeClr w14:val="tx1"/>
            </w14:solidFill>
          </w14:textFill>
        </w:rPr>
        <w:t>、避雷线、通信光缆、光缆接续点、金具、绝缘子、登杆塔的爬梯和脚钉，导线跨越航道的保护设施，巡（保）线站，巡视检修专用道路、船舶和桥梁，标志牌及其有关辅助设施。</w:t>
      </w:r>
    </w:p>
    <w:p>
      <w:pPr>
        <w:pStyle w:val="164"/>
      </w:pPr>
      <w:r>
        <w:rPr>
          <w:rFonts w:hint="eastAsia"/>
          <w:color w:val="000000" w:themeColor="text1"/>
          <w14:textFill>
            <w14:solidFill>
              <w14:schemeClr w14:val="tx1"/>
            </w14:solidFill>
          </w14:textFill>
        </w:rPr>
        <w:t>电力电缆线路：架空、地下、管道通信光缆、光缆接续点、水</w:t>
      </w:r>
      <w:r>
        <w:rPr>
          <w:rFonts w:hint="eastAsia"/>
        </w:rPr>
        <w:t>底电力电缆和电缆联结装置，电缆管道、电缆隧道、电缆沟、电缆桥、电缆井，盖板、人孔、标石、水线标志及其有关辅助设施。</w:t>
      </w:r>
    </w:p>
    <w:p>
      <w:pPr>
        <w:pStyle w:val="164"/>
      </w:pPr>
      <w:r>
        <w:rPr>
          <w:rFonts w:hint="eastAsia"/>
        </w:rPr>
        <w:t>电力线路上的变压器、电容器、电抗器、断路器、隔离开关、避雷器、互感器、熔断器、计量仪表装置、配电室、箱式变压器及其有关辅助设施。</w:t>
      </w:r>
    </w:p>
    <w:p>
      <w:pPr>
        <w:pStyle w:val="65"/>
        <w:spacing w:before="156" w:after="156"/>
      </w:pPr>
      <w:bookmarkStart w:id="98" w:name="_Toc130918447"/>
      <w:r>
        <w:rPr>
          <w:rFonts w:hint="eastAsia"/>
        </w:rPr>
        <w:t>电力调度设施</w:t>
      </w:r>
      <w:bookmarkEnd w:id="98"/>
    </w:p>
    <w:p>
      <w:pPr>
        <w:pStyle w:val="56"/>
        <w:ind w:firstLine="420"/>
      </w:pPr>
      <w:r>
        <w:rPr>
          <w:rFonts w:hint="eastAsia"/>
        </w:rPr>
        <w:t>电力调度场所、电力调度通信、电网调度自动化、电网运行控制等设施及其有关辅助设施。</w:t>
      </w:r>
    </w:p>
    <w:p>
      <w:pPr>
        <w:pStyle w:val="65"/>
        <w:spacing w:before="156" w:after="156"/>
      </w:pPr>
      <w:bookmarkStart w:id="99" w:name="_Toc130918448"/>
      <w:r>
        <w:rPr>
          <w:rFonts w:hint="eastAsia"/>
        </w:rPr>
        <w:t>电力交易场所设施</w:t>
      </w:r>
      <w:bookmarkEnd w:id="99"/>
    </w:p>
    <w:p>
      <w:pPr>
        <w:pStyle w:val="56"/>
        <w:ind w:firstLine="420"/>
      </w:pPr>
      <w:r>
        <w:rPr>
          <w:rFonts w:hint="eastAsia"/>
        </w:rPr>
        <w:t>计量、报价、交易、结算、监视、复核、预警、信息发布等设施及其有关辅助设施。</w:t>
      </w:r>
    </w:p>
    <w:p>
      <w:pPr>
        <w:pStyle w:val="65"/>
        <w:spacing w:before="156" w:after="156"/>
      </w:pPr>
      <w:bookmarkStart w:id="100" w:name="_Toc130918449"/>
      <w:r>
        <w:rPr>
          <w:rFonts w:hint="eastAsia"/>
        </w:rPr>
        <w:t>电力专用</w:t>
      </w:r>
      <w:r>
        <w:rPr>
          <w:rFonts w:hint="eastAsia"/>
          <w:color w:val="000000" w:themeColor="text1"/>
          <w14:textFill>
            <w14:solidFill>
              <w14:schemeClr w14:val="tx1"/>
            </w14:solidFill>
          </w14:textFill>
        </w:rPr>
        <w:t>通信</w:t>
      </w:r>
      <w:r>
        <w:rPr>
          <w:rFonts w:hint="eastAsia"/>
        </w:rPr>
        <w:t>设施</w:t>
      </w:r>
      <w:bookmarkEnd w:id="100"/>
    </w:p>
    <w:p>
      <w:pPr>
        <w:pStyle w:val="56"/>
        <w:ind w:firstLine="420"/>
      </w:pPr>
      <w:r>
        <w:rPr>
          <w:rFonts w:hint="eastAsia"/>
        </w:rPr>
        <w:t>电力专用通信线路（电缆）、通信光纤、微波塔、微波站、载波站、通讯卫星地面站设施及其有关辅助设施。</w:t>
      </w:r>
    </w:p>
    <w:p>
      <w:pPr>
        <w:pStyle w:val="105"/>
        <w:spacing w:before="156" w:after="156"/>
      </w:pPr>
      <w:bookmarkStart w:id="101" w:name="_Toc129035678"/>
      <w:bookmarkStart w:id="102" w:name="_Toc130915809"/>
      <w:bookmarkStart w:id="103" w:name="_Toc128389009"/>
      <w:bookmarkStart w:id="104" w:name="_Toc130918450"/>
      <w:bookmarkStart w:id="105" w:name="_Toc129027389"/>
      <w:r>
        <w:rPr>
          <w:rFonts w:hint="eastAsia"/>
        </w:rPr>
        <w:t>电力</w:t>
      </w:r>
      <w:r>
        <w:t>设施</w:t>
      </w:r>
      <w:r>
        <w:rPr>
          <w:rFonts w:hint="eastAsia"/>
        </w:rPr>
        <w:t>保护区</w:t>
      </w:r>
      <w:bookmarkEnd w:id="101"/>
      <w:bookmarkEnd w:id="102"/>
      <w:bookmarkEnd w:id="103"/>
      <w:bookmarkEnd w:id="104"/>
      <w:bookmarkEnd w:id="105"/>
    </w:p>
    <w:p>
      <w:pPr>
        <w:pStyle w:val="65"/>
        <w:spacing w:before="156" w:after="156"/>
        <w:rPr>
          <w:rFonts w:hint="eastAsia"/>
        </w:rPr>
      </w:pPr>
      <w:bookmarkStart w:id="106" w:name="_Toc130918451"/>
      <w:r>
        <w:rPr>
          <w:rFonts w:hint="eastAsia"/>
        </w:rPr>
        <w:t>架空电力线路保护区</w:t>
      </w:r>
      <w:bookmarkEnd w:id="106"/>
    </w:p>
    <w:p>
      <w:pPr>
        <w:pStyle w:val="164"/>
      </w:pPr>
      <w:r>
        <w:rPr>
          <w:rFonts w:hint="eastAsia"/>
        </w:rPr>
        <w:t>电力线路导线边线向外侧水平延伸并垂直于地面所形成的两平行面内的区域，在一般地区各级电压导线的边线延伸距离应符合表</w:t>
      </w:r>
      <w:r>
        <w:t>1</w:t>
      </w:r>
      <w:r>
        <w:rPr>
          <w:rFonts w:hint="eastAsia"/>
        </w:rPr>
        <w:t>的规定。</w:t>
      </w:r>
    </w:p>
    <w:p>
      <w:pPr>
        <w:pStyle w:val="112"/>
        <w:spacing w:before="156" w:after="156"/>
      </w:pPr>
      <w:r>
        <w:rPr>
          <w:rFonts w:hint="eastAsia"/>
        </w:rPr>
        <w:t>各级电压导线边线延伸距离</w:t>
      </w:r>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67"/>
        <w:gridCol w:w="4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4667" w:type="dxa"/>
            <w:tcBorders>
              <w:top w:val="single" w:color="auto" w:sz="8" w:space="0"/>
              <w:bottom w:val="single" w:color="auto" w:sz="8" w:space="0"/>
            </w:tcBorders>
            <w:shd w:val="clear" w:color="auto" w:fill="auto"/>
            <w:vAlign w:val="center"/>
          </w:tcPr>
          <w:p>
            <w:pPr>
              <w:pStyle w:val="178"/>
            </w:pPr>
            <w:r>
              <w:rPr>
                <w:rFonts w:hint="eastAsia"/>
              </w:rPr>
              <w:t>电压</w:t>
            </w:r>
            <w:r>
              <w:t>等级</w:t>
            </w:r>
          </w:p>
        </w:tc>
        <w:tc>
          <w:tcPr>
            <w:tcW w:w="4667" w:type="dxa"/>
            <w:tcBorders>
              <w:top w:val="single" w:color="auto" w:sz="8" w:space="0"/>
              <w:bottom w:val="single" w:color="auto" w:sz="8" w:space="0"/>
            </w:tcBorders>
            <w:shd w:val="clear" w:color="auto" w:fill="auto"/>
            <w:vAlign w:val="center"/>
          </w:tcPr>
          <w:p>
            <w:pPr>
              <w:pStyle w:val="178"/>
            </w:pPr>
            <w:r>
              <w:rPr>
                <w:rFonts w:hint="eastAsia"/>
              </w:rPr>
              <w:t>各级电压导线边线延伸距离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tcBorders>
              <w:top w:val="single" w:color="auto" w:sz="8" w:space="0"/>
            </w:tcBorders>
            <w:shd w:val="clear" w:color="auto" w:fill="auto"/>
            <w:vAlign w:val="center"/>
          </w:tcPr>
          <w:p>
            <w:pPr>
              <w:pStyle w:val="178"/>
            </w:pPr>
            <w:r>
              <w:t xml:space="preserve"> </w:t>
            </w:r>
            <w:r>
              <w:rPr>
                <w:rFonts w:hint="eastAsia"/>
              </w:rPr>
              <w:t>1</w:t>
            </w:r>
            <w:r>
              <w:t xml:space="preserve"> kV</w:t>
            </w:r>
            <w:r>
              <w:rPr>
                <w:rFonts w:hint="eastAsia"/>
              </w:rPr>
              <w:t>～</w:t>
            </w:r>
            <w:r>
              <w:t>1</w:t>
            </w:r>
            <w:r>
              <w:rPr>
                <w:rFonts w:hint="eastAsia"/>
              </w:rPr>
              <w:t>0</w:t>
            </w:r>
            <w:r>
              <w:t xml:space="preserve"> kV</w:t>
            </w:r>
          </w:p>
        </w:tc>
        <w:tc>
          <w:tcPr>
            <w:tcW w:w="4667" w:type="dxa"/>
            <w:tcBorders>
              <w:top w:val="single" w:color="auto" w:sz="8" w:space="0"/>
            </w:tcBorders>
            <w:shd w:val="clear" w:color="auto" w:fill="auto"/>
            <w:vAlign w:val="center"/>
          </w:tcPr>
          <w:p>
            <w:pPr>
              <w:pStyle w:val="178"/>
            </w:pPr>
            <w:r>
              <w:rPr>
                <w:rFonts w:hint="eastAsia"/>
              </w:rPr>
              <w:t>5</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 xml:space="preserve"> 35 kV</w:t>
            </w:r>
            <w:r>
              <w:rPr>
                <w:rFonts w:hint="eastAsia"/>
              </w:rPr>
              <w:t>～</w:t>
            </w:r>
            <w:r>
              <w:t>11</w:t>
            </w:r>
            <w:r>
              <w:rPr>
                <w:rFonts w:hint="eastAsia"/>
              </w:rPr>
              <w:t>0</w:t>
            </w:r>
            <w:r>
              <w:t xml:space="preserve"> kV</w:t>
            </w:r>
          </w:p>
        </w:tc>
        <w:tc>
          <w:tcPr>
            <w:tcW w:w="4667" w:type="dxa"/>
            <w:shd w:val="clear" w:color="auto" w:fill="auto"/>
            <w:vAlign w:val="center"/>
          </w:tcPr>
          <w:p>
            <w:pPr>
              <w:pStyle w:val="178"/>
            </w:pPr>
            <w:r>
              <w:t xml:space="preserve">10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rPr>
                <w:rFonts w:hint="eastAsia"/>
              </w:rPr>
              <w:t>1</w:t>
            </w:r>
            <w:r>
              <w:t>54 kV</w:t>
            </w:r>
            <w:r>
              <w:rPr>
                <w:rFonts w:hint="eastAsia"/>
              </w:rPr>
              <w:t>～</w:t>
            </w:r>
            <w:r>
              <w:t>330 kV</w:t>
            </w:r>
          </w:p>
        </w:tc>
        <w:tc>
          <w:tcPr>
            <w:tcW w:w="4667" w:type="dxa"/>
            <w:shd w:val="clear" w:color="auto" w:fill="auto"/>
            <w:vAlign w:val="center"/>
          </w:tcPr>
          <w:p>
            <w:pPr>
              <w:pStyle w:val="178"/>
            </w:pPr>
            <w:r>
              <w:rPr>
                <w:rFonts w:hint="eastAsia"/>
              </w:rPr>
              <w:t>15</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500 kV</w:t>
            </w:r>
          </w:p>
        </w:tc>
        <w:tc>
          <w:tcPr>
            <w:tcW w:w="4667" w:type="dxa"/>
            <w:shd w:val="clear" w:color="auto" w:fill="auto"/>
            <w:vAlign w:val="center"/>
          </w:tcPr>
          <w:p>
            <w:pPr>
              <w:pStyle w:val="178"/>
            </w:pPr>
            <w:r>
              <w:rPr>
                <w:rFonts w:hint="eastAsia"/>
              </w:rPr>
              <w:t>20</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±66</w:t>
            </w:r>
            <w:r>
              <w:rPr>
                <w:rFonts w:hint="eastAsia"/>
              </w:rPr>
              <w:t xml:space="preserve">0 </w:t>
            </w:r>
            <w:r>
              <w:t>kV</w:t>
            </w:r>
          </w:p>
        </w:tc>
        <w:tc>
          <w:tcPr>
            <w:tcW w:w="4667" w:type="dxa"/>
            <w:shd w:val="clear" w:color="auto" w:fill="auto"/>
            <w:vAlign w:val="center"/>
          </w:tcPr>
          <w:p>
            <w:pPr>
              <w:pStyle w:val="178"/>
            </w:pPr>
            <w:r>
              <w:rPr>
                <w:rFonts w:hint="eastAsia"/>
              </w:rPr>
              <w:t>25</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75</w:t>
            </w:r>
            <w:r>
              <w:rPr>
                <w:rFonts w:hint="eastAsia"/>
              </w:rPr>
              <w:t xml:space="preserve">0 </w:t>
            </w:r>
            <w:r>
              <w:t>kV</w:t>
            </w:r>
          </w:p>
        </w:tc>
        <w:tc>
          <w:tcPr>
            <w:tcW w:w="4667" w:type="dxa"/>
            <w:shd w:val="clear" w:color="auto" w:fill="auto"/>
            <w:vAlign w:val="center"/>
          </w:tcPr>
          <w:p>
            <w:pPr>
              <w:pStyle w:val="178"/>
            </w:pPr>
            <w:r>
              <w:rPr>
                <w:rFonts w:hint="eastAsia"/>
              </w:rPr>
              <w:t>25</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80</w:t>
            </w:r>
            <w:r>
              <w:rPr>
                <w:rFonts w:hint="eastAsia"/>
              </w:rPr>
              <w:t xml:space="preserve">0 </w:t>
            </w:r>
            <w:r>
              <w:t>kV</w:t>
            </w:r>
          </w:p>
        </w:tc>
        <w:tc>
          <w:tcPr>
            <w:tcW w:w="4667" w:type="dxa"/>
            <w:shd w:val="clear" w:color="auto" w:fill="auto"/>
            <w:vAlign w:val="center"/>
          </w:tcPr>
          <w:p>
            <w:pPr>
              <w:pStyle w:val="178"/>
            </w:pPr>
            <w:r>
              <w:rPr>
                <w:rFonts w:hint="eastAsia"/>
              </w:rPr>
              <w:t>30</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100</w:t>
            </w:r>
            <w:r>
              <w:rPr>
                <w:rFonts w:hint="eastAsia"/>
              </w:rPr>
              <w:t xml:space="preserve">0 </w:t>
            </w:r>
            <w:r>
              <w:t>kV</w:t>
            </w:r>
          </w:p>
        </w:tc>
        <w:tc>
          <w:tcPr>
            <w:tcW w:w="4667" w:type="dxa"/>
            <w:shd w:val="clear" w:color="auto" w:fill="auto"/>
            <w:vAlign w:val="center"/>
          </w:tcPr>
          <w:p>
            <w:pPr>
              <w:pStyle w:val="178"/>
            </w:pPr>
            <w:r>
              <w:rPr>
                <w:rFonts w:hint="eastAsia"/>
              </w:rPr>
              <w:t>30</w:t>
            </w:r>
            <w:r>
              <w:t xml:space="preserve"> </w:t>
            </w:r>
            <w:r>
              <w:rPr>
                <w:rFonts w:hint="eastAsia"/>
              </w:rPr>
              <w:t>m</w:t>
            </w:r>
          </w:p>
        </w:tc>
      </w:tr>
    </w:tbl>
    <w:p>
      <w:pPr>
        <w:pStyle w:val="164"/>
      </w:pPr>
      <w:r>
        <w:rPr>
          <w:rFonts w:hint="eastAsia"/>
        </w:rPr>
        <w:t>在厂矿、城镇、集镇、村庄等人口密集地区，架空电力线路保护区为导线边线在最大计算风偏后的水平距离和风偏后距建筑物的水平安全距离之和所形成的两平行线内的区域。各级电压导线边线在计算导线最大风偏情况下，距建筑物的水平安全距离见表</w:t>
      </w:r>
      <w:r>
        <w:t>2</w:t>
      </w:r>
      <w:r>
        <w:rPr>
          <w:rFonts w:hint="eastAsia"/>
        </w:rPr>
        <w:t>。</w:t>
      </w:r>
    </w:p>
    <w:p>
      <w:pPr>
        <w:pStyle w:val="112"/>
        <w:spacing w:before="156" w:after="156"/>
      </w:pPr>
      <w:r>
        <w:rPr>
          <w:rFonts w:hint="eastAsia"/>
        </w:rPr>
        <w:t>各级电压导线</w:t>
      </w:r>
      <w:r>
        <w:t>边线</w:t>
      </w:r>
      <w:r>
        <w:rPr>
          <w:rFonts w:hint="eastAsia"/>
        </w:rPr>
        <w:t>最大风偏距建筑物的水平安全距离</w:t>
      </w:r>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67"/>
        <w:gridCol w:w="4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4667" w:type="dxa"/>
            <w:tcBorders>
              <w:top w:val="single" w:color="auto" w:sz="8" w:space="0"/>
              <w:bottom w:val="single" w:color="auto" w:sz="8" w:space="0"/>
            </w:tcBorders>
            <w:shd w:val="clear" w:color="auto" w:fill="auto"/>
            <w:vAlign w:val="center"/>
          </w:tcPr>
          <w:p>
            <w:pPr>
              <w:pStyle w:val="178"/>
            </w:pPr>
            <w:r>
              <w:rPr>
                <w:rFonts w:hint="eastAsia"/>
              </w:rPr>
              <w:t>电压等级</w:t>
            </w:r>
          </w:p>
        </w:tc>
        <w:tc>
          <w:tcPr>
            <w:tcW w:w="4667" w:type="dxa"/>
            <w:tcBorders>
              <w:top w:val="single" w:color="auto" w:sz="8" w:space="0"/>
              <w:bottom w:val="single" w:color="auto" w:sz="8" w:space="0"/>
            </w:tcBorders>
            <w:shd w:val="clear" w:color="auto" w:fill="auto"/>
            <w:vAlign w:val="center"/>
          </w:tcPr>
          <w:p>
            <w:pPr>
              <w:pStyle w:val="178"/>
            </w:pPr>
            <w:r>
              <w:rPr>
                <w:rFonts w:hint="eastAsia"/>
              </w:rPr>
              <w:t>距建筑物的水平安全距离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tcBorders>
              <w:top w:val="single" w:color="auto" w:sz="8" w:space="0"/>
            </w:tcBorders>
            <w:shd w:val="clear" w:color="auto" w:fill="auto"/>
            <w:vAlign w:val="center"/>
          </w:tcPr>
          <w:p>
            <w:pPr>
              <w:pStyle w:val="178"/>
            </w:pPr>
            <w:r>
              <w:rPr>
                <w:rFonts w:hint="eastAsia"/>
              </w:rPr>
              <w:t>1</w:t>
            </w:r>
            <w:r>
              <w:t xml:space="preserve"> kV</w:t>
            </w:r>
          </w:p>
        </w:tc>
        <w:tc>
          <w:tcPr>
            <w:tcW w:w="4667" w:type="dxa"/>
            <w:tcBorders>
              <w:top w:val="single" w:color="auto" w:sz="8" w:space="0"/>
            </w:tcBorders>
            <w:shd w:val="clear" w:color="auto" w:fill="auto"/>
            <w:vAlign w:val="center"/>
          </w:tcPr>
          <w:p>
            <w:pPr>
              <w:pStyle w:val="178"/>
            </w:pPr>
            <w:r>
              <w:t xml:space="preserve">1.0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rPr>
                <w:rFonts w:hint="eastAsia"/>
              </w:rPr>
              <w:t>1</w:t>
            </w:r>
            <w:r>
              <w:t xml:space="preserve"> kV</w:t>
            </w:r>
            <w:r>
              <w:rPr>
                <w:rFonts w:hint="eastAsia"/>
              </w:rPr>
              <w:t>～</w:t>
            </w:r>
            <w:r>
              <w:t>1</w:t>
            </w:r>
            <w:r>
              <w:rPr>
                <w:rFonts w:hint="eastAsia"/>
              </w:rPr>
              <w:t>0</w:t>
            </w:r>
            <w:r>
              <w:t xml:space="preserve"> kV</w:t>
            </w:r>
          </w:p>
        </w:tc>
        <w:tc>
          <w:tcPr>
            <w:tcW w:w="4667" w:type="dxa"/>
            <w:shd w:val="clear" w:color="auto" w:fill="auto"/>
            <w:vAlign w:val="center"/>
          </w:tcPr>
          <w:p>
            <w:pPr>
              <w:pStyle w:val="178"/>
            </w:pPr>
            <w:r>
              <w:t xml:space="preserve">1.5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35 kV</w:t>
            </w:r>
          </w:p>
        </w:tc>
        <w:tc>
          <w:tcPr>
            <w:tcW w:w="4667" w:type="dxa"/>
            <w:shd w:val="clear" w:color="auto" w:fill="auto"/>
            <w:vAlign w:val="center"/>
          </w:tcPr>
          <w:p>
            <w:pPr>
              <w:pStyle w:val="178"/>
            </w:pPr>
            <w:r>
              <w:t xml:space="preserve">3.0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11</w:t>
            </w:r>
            <w:r>
              <w:rPr>
                <w:rFonts w:hint="eastAsia"/>
              </w:rPr>
              <w:t>0</w:t>
            </w:r>
            <w:r>
              <w:t xml:space="preserve"> kV</w:t>
            </w:r>
          </w:p>
        </w:tc>
        <w:tc>
          <w:tcPr>
            <w:tcW w:w="4667" w:type="dxa"/>
            <w:shd w:val="clear" w:color="auto" w:fill="auto"/>
            <w:vAlign w:val="center"/>
          </w:tcPr>
          <w:p>
            <w:pPr>
              <w:pStyle w:val="178"/>
            </w:pPr>
            <w:r>
              <w:t xml:space="preserve">4.0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22</w:t>
            </w:r>
            <w:r>
              <w:rPr>
                <w:rFonts w:hint="eastAsia"/>
              </w:rPr>
              <w:t>0</w:t>
            </w:r>
            <w:r>
              <w:t xml:space="preserve"> kV</w:t>
            </w:r>
          </w:p>
        </w:tc>
        <w:tc>
          <w:tcPr>
            <w:tcW w:w="4667" w:type="dxa"/>
            <w:shd w:val="clear" w:color="auto" w:fill="auto"/>
            <w:vAlign w:val="center"/>
          </w:tcPr>
          <w:p>
            <w:pPr>
              <w:pStyle w:val="178"/>
            </w:pPr>
            <w:r>
              <w:t xml:space="preserve">5.0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33</w:t>
            </w:r>
            <w:r>
              <w:rPr>
                <w:rFonts w:hint="eastAsia"/>
              </w:rPr>
              <w:t>0</w:t>
            </w:r>
            <w:r>
              <w:t xml:space="preserve"> kV</w:t>
            </w:r>
          </w:p>
        </w:tc>
        <w:tc>
          <w:tcPr>
            <w:tcW w:w="4667" w:type="dxa"/>
            <w:shd w:val="clear" w:color="auto" w:fill="auto"/>
            <w:vAlign w:val="center"/>
          </w:tcPr>
          <w:p>
            <w:pPr>
              <w:pStyle w:val="178"/>
            </w:pPr>
            <w:r>
              <w:t xml:space="preserve">6.0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50</w:t>
            </w:r>
            <w:r>
              <w:rPr>
                <w:rFonts w:hint="eastAsia"/>
              </w:rPr>
              <w:t>0</w:t>
            </w:r>
            <w:r>
              <w:t xml:space="preserve"> kV</w:t>
            </w:r>
          </w:p>
        </w:tc>
        <w:tc>
          <w:tcPr>
            <w:tcW w:w="4667" w:type="dxa"/>
            <w:shd w:val="clear" w:color="auto" w:fill="auto"/>
            <w:vAlign w:val="center"/>
          </w:tcPr>
          <w:p>
            <w:pPr>
              <w:pStyle w:val="178"/>
            </w:pPr>
            <w:r>
              <w:t xml:space="preserve">8.5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±66</w:t>
            </w:r>
            <w:r>
              <w:rPr>
                <w:rFonts w:hint="eastAsia"/>
              </w:rPr>
              <w:t xml:space="preserve">0 </w:t>
            </w:r>
            <w:r>
              <w:t>kV</w:t>
            </w:r>
          </w:p>
        </w:tc>
        <w:tc>
          <w:tcPr>
            <w:tcW w:w="4667" w:type="dxa"/>
            <w:shd w:val="clear" w:color="auto" w:fill="auto"/>
            <w:vAlign w:val="center"/>
          </w:tcPr>
          <w:p>
            <w:pPr>
              <w:pStyle w:val="178"/>
            </w:pPr>
            <w:r>
              <w:t xml:space="preserve">10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75</w:t>
            </w:r>
            <w:r>
              <w:rPr>
                <w:rFonts w:hint="eastAsia"/>
              </w:rPr>
              <w:t xml:space="preserve">0 </w:t>
            </w:r>
            <w:r>
              <w:t>kV</w:t>
            </w:r>
          </w:p>
        </w:tc>
        <w:tc>
          <w:tcPr>
            <w:tcW w:w="4667" w:type="dxa"/>
            <w:shd w:val="clear" w:color="auto" w:fill="auto"/>
            <w:vAlign w:val="center"/>
          </w:tcPr>
          <w:p>
            <w:pPr>
              <w:pStyle w:val="178"/>
            </w:pPr>
            <w:r>
              <w:t xml:space="preserve">11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80</w:t>
            </w:r>
            <w:r>
              <w:rPr>
                <w:rFonts w:hint="eastAsia"/>
              </w:rPr>
              <w:t xml:space="preserve">0 </w:t>
            </w:r>
            <w:r>
              <w:t>kV</w:t>
            </w:r>
          </w:p>
        </w:tc>
        <w:tc>
          <w:tcPr>
            <w:tcW w:w="4667" w:type="dxa"/>
            <w:shd w:val="clear" w:color="auto" w:fill="auto"/>
            <w:vAlign w:val="center"/>
          </w:tcPr>
          <w:p>
            <w:pPr>
              <w:pStyle w:val="178"/>
            </w:pPr>
            <w:r>
              <w:t xml:space="preserve">17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t>100</w:t>
            </w:r>
            <w:r>
              <w:rPr>
                <w:rFonts w:hint="eastAsia"/>
              </w:rPr>
              <w:t xml:space="preserve">0 </w:t>
            </w:r>
            <w:r>
              <w:t>kV</w:t>
            </w:r>
          </w:p>
        </w:tc>
        <w:tc>
          <w:tcPr>
            <w:tcW w:w="4667" w:type="dxa"/>
            <w:shd w:val="clear" w:color="auto" w:fill="auto"/>
            <w:vAlign w:val="center"/>
          </w:tcPr>
          <w:p>
            <w:pPr>
              <w:pStyle w:val="178"/>
            </w:pPr>
            <w:r>
              <w:t xml:space="preserve">15 </w:t>
            </w:r>
            <w:r>
              <w:rPr>
                <w:rFonts w:hint="eastAsia"/>
              </w:rPr>
              <w:t>m</w:t>
            </w:r>
          </w:p>
        </w:tc>
      </w:tr>
    </w:tbl>
    <w:p>
      <w:pPr>
        <w:pStyle w:val="164"/>
      </w:pPr>
      <w:r>
        <w:rPr>
          <w:rFonts w:hint="eastAsia"/>
        </w:rPr>
        <w:t>架空电力线路和树木、林区的安全距离应符合以下要求：</w:t>
      </w:r>
    </w:p>
    <w:p>
      <w:pPr>
        <w:pStyle w:val="174"/>
        <w:numPr>
          <w:ilvl w:val="0"/>
          <w:numId w:val="33"/>
        </w:numPr>
      </w:pPr>
      <w:r>
        <w:rPr>
          <w:rFonts w:hint="eastAsia"/>
        </w:rPr>
        <w:t>架空电力线路导线在最大弧垂或者最大风偏后与树木之间的安全距离见</w:t>
      </w:r>
      <w:r>
        <w:t>表3</w:t>
      </w:r>
      <w:r>
        <w:rPr>
          <w:rFonts w:hint="eastAsia"/>
        </w:rPr>
        <w:t>；</w:t>
      </w:r>
    </w:p>
    <w:p>
      <w:pPr>
        <w:pStyle w:val="174"/>
        <w:numPr>
          <w:ilvl w:val="0"/>
          <w:numId w:val="33"/>
        </w:numPr>
      </w:pPr>
      <w:r>
        <w:rPr>
          <w:rFonts w:hint="eastAsia"/>
        </w:rPr>
        <w:t>树木生长危及架空电力线路安全的，应对树木进行修剪；</w:t>
      </w:r>
    </w:p>
    <w:p>
      <w:pPr>
        <w:pStyle w:val="174"/>
        <w:numPr>
          <w:ilvl w:val="0"/>
          <w:numId w:val="33"/>
        </w:numPr>
        <w:rPr>
          <w:rFonts w:hint="eastAsia"/>
        </w:rPr>
      </w:pPr>
      <w:r>
        <w:rPr>
          <w:rFonts w:hint="eastAsia"/>
        </w:rPr>
        <w:t>因不可抗力导致树木倾倒、倾斜危及架空电力线路安全的，电力企业可先行修剪或者砍伐，事后应及时到当地林业或者园林管理部门依法办理相关树木采伐手续，并通知树木所有者或者管理者。</w:t>
      </w:r>
    </w:p>
    <w:p>
      <w:pPr>
        <w:pStyle w:val="112"/>
        <w:spacing w:before="156" w:after="156"/>
      </w:pPr>
      <w:r>
        <w:rPr>
          <w:rFonts w:hint="eastAsia"/>
        </w:rPr>
        <w:t>架空电力线路导线在最大弧垂或者最大风偏后与树木之间的安全距离</w:t>
      </w:r>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110"/>
        <w:gridCol w:w="3112"/>
        <w:gridCol w:w="3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vAlign w:val="center"/>
          </w:tcPr>
          <w:p>
            <w:pPr>
              <w:pStyle w:val="178"/>
            </w:pPr>
            <w:r>
              <w:rPr>
                <w:rFonts w:hint="eastAsia"/>
              </w:rPr>
              <w:t>电压等级</w:t>
            </w:r>
          </w:p>
        </w:tc>
        <w:tc>
          <w:tcPr>
            <w:tcW w:w="3112" w:type="dxa"/>
            <w:tcBorders>
              <w:top w:val="single" w:color="auto" w:sz="8" w:space="0"/>
              <w:bottom w:val="single" w:color="auto" w:sz="8" w:space="0"/>
            </w:tcBorders>
            <w:shd w:val="clear" w:color="auto" w:fill="auto"/>
            <w:vAlign w:val="center"/>
          </w:tcPr>
          <w:p>
            <w:pPr>
              <w:pStyle w:val="178"/>
            </w:pPr>
            <w:r>
              <w:rPr>
                <w:rFonts w:hint="eastAsia"/>
              </w:rPr>
              <w:t>最大风偏后</w:t>
            </w:r>
            <w:r>
              <w:t>的</w:t>
            </w:r>
            <w:r>
              <w:rPr>
                <w:rFonts w:hint="eastAsia"/>
              </w:rPr>
              <w:t>距离</w:t>
            </w:r>
          </w:p>
        </w:tc>
        <w:tc>
          <w:tcPr>
            <w:tcW w:w="3112" w:type="dxa"/>
            <w:tcBorders>
              <w:top w:val="single" w:color="auto" w:sz="8" w:space="0"/>
              <w:bottom w:val="single" w:color="auto" w:sz="8" w:space="0"/>
            </w:tcBorders>
            <w:shd w:val="clear" w:color="auto" w:fill="auto"/>
            <w:vAlign w:val="center"/>
          </w:tcPr>
          <w:p>
            <w:pPr>
              <w:pStyle w:val="178"/>
            </w:pPr>
            <w:r>
              <w:rPr>
                <w:rFonts w:hint="eastAsia"/>
              </w:rPr>
              <w:t>最大</w:t>
            </w:r>
            <w:r>
              <w:t>弧垂距离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tcBorders>
              <w:top w:val="single" w:color="auto" w:sz="8" w:space="0"/>
            </w:tcBorders>
            <w:shd w:val="clear" w:color="auto" w:fill="auto"/>
            <w:vAlign w:val="center"/>
          </w:tcPr>
          <w:p>
            <w:pPr>
              <w:pStyle w:val="178"/>
            </w:pPr>
            <w:r>
              <w:rPr>
                <w:rFonts w:hint="eastAsia"/>
              </w:rPr>
              <w:t xml:space="preserve">1 </w:t>
            </w:r>
            <w:r>
              <w:t>kV</w:t>
            </w:r>
            <w:r>
              <w:rPr>
                <w:rFonts w:hint="eastAsia"/>
              </w:rPr>
              <w:t>以下</w:t>
            </w:r>
          </w:p>
        </w:tc>
        <w:tc>
          <w:tcPr>
            <w:tcW w:w="3112" w:type="dxa"/>
            <w:tcBorders>
              <w:top w:val="single" w:color="auto" w:sz="8" w:space="0"/>
            </w:tcBorders>
            <w:shd w:val="clear" w:color="auto" w:fill="auto"/>
            <w:vAlign w:val="center"/>
          </w:tcPr>
          <w:p>
            <w:pPr>
              <w:pStyle w:val="178"/>
            </w:pPr>
            <w:r>
              <w:t xml:space="preserve">1.0 </w:t>
            </w:r>
            <w:r>
              <w:rPr>
                <w:rFonts w:hint="eastAsia"/>
              </w:rPr>
              <w:t>m</w:t>
            </w:r>
          </w:p>
        </w:tc>
        <w:tc>
          <w:tcPr>
            <w:tcW w:w="3112" w:type="dxa"/>
            <w:tcBorders>
              <w:top w:val="single" w:color="auto" w:sz="8" w:space="0"/>
            </w:tcBorders>
            <w:shd w:val="clear" w:color="auto" w:fill="auto"/>
            <w:vAlign w:val="center"/>
          </w:tcPr>
          <w:p>
            <w:pPr>
              <w:pStyle w:val="178"/>
            </w:pPr>
            <w:r>
              <w:t xml:space="preserve">1.0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rPr>
                <w:rFonts w:hint="eastAsia"/>
              </w:rPr>
              <w:t xml:space="preserve">1 </w:t>
            </w:r>
            <w:r>
              <w:t>kV</w:t>
            </w:r>
            <w:r>
              <w:rPr>
                <w:rFonts w:hint="eastAsia"/>
              </w:rPr>
              <w:t>～1</w:t>
            </w:r>
            <w:r>
              <w:t>0</w:t>
            </w:r>
            <w:r>
              <w:rPr>
                <w:rFonts w:hint="eastAsia"/>
              </w:rPr>
              <w:t xml:space="preserve"> </w:t>
            </w:r>
            <w:r>
              <w:t>kV</w:t>
            </w:r>
          </w:p>
        </w:tc>
        <w:tc>
          <w:tcPr>
            <w:tcW w:w="3112" w:type="dxa"/>
            <w:shd w:val="clear" w:color="auto" w:fill="auto"/>
            <w:vAlign w:val="center"/>
          </w:tcPr>
          <w:p>
            <w:pPr>
              <w:pStyle w:val="178"/>
            </w:pPr>
            <w:r>
              <w:t xml:space="preserve">1.5 </w:t>
            </w:r>
            <w:r>
              <w:rPr>
                <w:rFonts w:hint="eastAsia"/>
              </w:rPr>
              <w:t>m</w:t>
            </w:r>
          </w:p>
        </w:tc>
        <w:tc>
          <w:tcPr>
            <w:tcW w:w="3112" w:type="dxa"/>
            <w:shd w:val="clear" w:color="auto" w:fill="auto"/>
            <w:vAlign w:val="center"/>
          </w:tcPr>
          <w:p>
            <w:pPr>
              <w:pStyle w:val="178"/>
            </w:pPr>
            <w:r>
              <w:t xml:space="preserve">2.0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35</w:t>
            </w:r>
            <w:r>
              <w:rPr>
                <w:rFonts w:hint="eastAsia"/>
              </w:rPr>
              <w:t xml:space="preserve"> </w:t>
            </w:r>
            <w:r>
              <w:t>kV</w:t>
            </w:r>
            <w:r>
              <w:rPr>
                <w:rFonts w:hint="eastAsia"/>
              </w:rPr>
              <w:t>～1</w:t>
            </w:r>
            <w:r>
              <w:t>10</w:t>
            </w:r>
            <w:r>
              <w:rPr>
                <w:rFonts w:hint="eastAsia"/>
              </w:rPr>
              <w:t xml:space="preserve"> </w:t>
            </w:r>
            <w:r>
              <w:t>kV</w:t>
            </w:r>
          </w:p>
        </w:tc>
        <w:tc>
          <w:tcPr>
            <w:tcW w:w="3112" w:type="dxa"/>
            <w:shd w:val="clear" w:color="auto" w:fill="auto"/>
            <w:vAlign w:val="center"/>
          </w:tcPr>
          <w:p>
            <w:pPr>
              <w:pStyle w:val="178"/>
            </w:pPr>
            <w:r>
              <w:t xml:space="preserve">3.5 </w:t>
            </w:r>
            <w:r>
              <w:rPr>
                <w:rFonts w:hint="eastAsia"/>
              </w:rPr>
              <w:t>m</w:t>
            </w:r>
          </w:p>
        </w:tc>
        <w:tc>
          <w:tcPr>
            <w:tcW w:w="3112" w:type="dxa"/>
            <w:shd w:val="clear" w:color="auto" w:fill="auto"/>
            <w:vAlign w:val="center"/>
          </w:tcPr>
          <w:p>
            <w:pPr>
              <w:pStyle w:val="178"/>
            </w:pPr>
            <w:r>
              <w:t xml:space="preserve">4.0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rPr>
                <w:rFonts w:hint="eastAsia"/>
              </w:rPr>
              <w:t xml:space="preserve">220 </w:t>
            </w:r>
            <w:r>
              <w:t>kV</w:t>
            </w:r>
          </w:p>
        </w:tc>
        <w:tc>
          <w:tcPr>
            <w:tcW w:w="3112" w:type="dxa"/>
            <w:shd w:val="clear" w:color="auto" w:fill="auto"/>
            <w:vAlign w:val="center"/>
          </w:tcPr>
          <w:p>
            <w:pPr>
              <w:pStyle w:val="178"/>
            </w:pPr>
            <w:r>
              <w:t xml:space="preserve">4.0 </w:t>
            </w:r>
            <w:r>
              <w:rPr>
                <w:rFonts w:hint="eastAsia"/>
              </w:rPr>
              <w:t>m</w:t>
            </w:r>
            <w:r>
              <w:t xml:space="preserve"> </w:t>
            </w:r>
          </w:p>
        </w:tc>
        <w:tc>
          <w:tcPr>
            <w:tcW w:w="3112" w:type="dxa"/>
            <w:shd w:val="clear" w:color="auto" w:fill="auto"/>
            <w:vAlign w:val="center"/>
          </w:tcPr>
          <w:p>
            <w:pPr>
              <w:pStyle w:val="178"/>
            </w:pPr>
            <w:r>
              <w:t xml:space="preserve">4.5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33</w:t>
            </w:r>
            <w:r>
              <w:rPr>
                <w:rFonts w:hint="eastAsia"/>
              </w:rPr>
              <w:t xml:space="preserve">0 </w:t>
            </w:r>
            <w:r>
              <w:t>kV</w:t>
            </w:r>
          </w:p>
        </w:tc>
        <w:tc>
          <w:tcPr>
            <w:tcW w:w="3112" w:type="dxa"/>
            <w:shd w:val="clear" w:color="auto" w:fill="auto"/>
            <w:vAlign w:val="center"/>
          </w:tcPr>
          <w:p>
            <w:pPr>
              <w:pStyle w:val="178"/>
            </w:pPr>
            <w:r>
              <w:t xml:space="preserve">5.0 </w:t>
            </w:r>
            <w:r>
              <w:rPr>
                <w:rFonts w:hint="eastAsia"/>
              </w:rPr>
              <w:t>m</w:t>
            </w:r>
          </w:p>
        </w:tc>
        <w:tc>
          <w:tcPr>
            <w:tcW w:w="3112" w:type="dxa"/>
            <w:shd w:val="clear" w:color="auto" w:fill="auto"/>
            <w:vAlign w:val="center"/>
          </w:tcPr>
          <w:p>
            <w:pPr>
              <w:pStyle w:val="178"/>
            </w:pPr>
            <w:r>
              <w:t xml:space="preserve">5.5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50</w:t>
            </w:r>
            <w:r>
              <w:rPr>
                <w:rFonts w:hint="eastAsia"/>
              </w:rPr>
              <w:t xml:space="preserve">0 </w:t>
            </w:r>
            <w:r>
              <w:t>kV</w:t>
            </w:r>
          </w:p>
        </w:tc>
        <w:tc>
          <w:tcPr>
            <w:tcW w:w="3112" w:type="dxa"/>
            <w:shd w:val="clear" w:color="auto" w:fill="auto"/>
            <w:vAlign w:val="center"/>
          </w:tcPr>
          <w:p>
            <w:pPr>
              <w:pStyle w:val="178"/>
            </w:pPr>
            <w:r>
              <w:t xml:space="preserve">7.0 </w:t>
            </w:r>
            <w:r>
              <w:rPr>
                <w:rFonts w:hint="eastAsia"/>
              </w:rPr>
              <w:t>m</w:t>
            </w:r>
          </w:p>
        </w:tc>
        <w:tc>
          <w:tcPr>
            <w:tcW w:w="3112" w:type="dxa"/>
            <w:shd w:val="clear" w:color="auto" w:fill="auto"/>
            <w:vAlign w:val="center"/>
          </w:tcPr>
          <w:p>
            <w:pPr>
              <w:pStyle w:val="178"/>
            </w:pPr>
            <w:r>
              <w:t xml:space="preserve">7.0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±66</w:t>
            </w:r>
            <w:r>
              <w:rPr>
                <w:rFonts w:hint="eastAsia"/>
              </w:rPr>
              <w:t xml:space="preserve">0 </w:t>
            </w:r>
            <w:r>
              <w:t>kV</w:t>
            </w:r>
          </w:p>
        </w:tc>
        <w:tc>
          <w:tcPr>
            <w:tcW w:w="3112" w:type="dxa"/>
            <w:shd w:val="clear" w:color="auto" w:fill="auto"/>
            <w:vAlign w:val="center"/>
          </w:tcPr>
          <w:p>
            <w:pPr>
              <w:pStyle w:val="178"/>
            </w:pPr>
            <w:r>
              <w:t xml:space="preserve">8.0 </w:t>
            </w:r>
            <w:r>
              <w:rPr>
                <w:rFonts w:hint="eastAsia"/>
              </w:rPr>
              <w:t>m</w:t>
            </w:r>
          </w:p>
        </w:tc>
        <w:tc>
          <w:tcPr>
            <w:tcW w:w="3112" w:type="dxa"/>
            <w:shd w:val="clear" w:color="auto" w:fill="auto"/>
            <w:vAlign w:val="center"/>
          </w:tcPr>
          <w:p>
            <w:pPr>
              <w:pStyle w:val="178"/>
            </w:pPr>
            <w:r>
              <w:t xml:space="preserve">8.0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75</w:t>
            </w:r>
            <w:r>
              <w:rPr>
                <w:rFonts w:hint="eastAsia"/>
              </w:rPr>
              <w:t xml:space="preserve">0 </w:t>
            </w:r>
            <w:r>
              <w:t>kV</w:t>
            </w:r>
          </w:p>
        </w:tc>
        <w:tc>
          <w:tcPr>
            <w:tcW w:w="3112" w:type="dxa"/>
            <w:shd w:val="clear" w:color="auto" w:fill="auto"/>
            <w:vAlign w:val="center"/>
          </w:tcPr>
          <w:p>
            <w:pPr>
              <w:pStyle w:val="178"/>
            </w:pPr>
            <w:r>
              <w:t xml:space="preserve">8.5 </w:t>
            </w:r>
            <w:r>
              <w:rPr>
                <w:rFonts w:hint="eastAsia"/>
              </w:rPr>
              <w:t>m</w:t>
            </w:r>
          </w:p>
        </w:tc>
        <w:tc>
          <w:tcPr>
            <w:tcW w:w="3112" w:type="dxa"/>
            <w:shd w:val="clear" w:color="auto" w:fill="auto"/>
            <w:vAlign w:val="center"/>
          </w:tcPr>
          <w:p>
            <w:pPr>
              <w:pStyle w:val="178"/>
            </w:pPr>
            <w:r>
              <w:t xml:space="preserve">8.5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80</w:t>
            </w:r>
            <w:r>
              <w:rPr>
                <w:rFonts w:hint="eastAsia"/>
              </w:rPr>
              <w:t xml:space="preserve">0 </w:t>
            </w:r>
            <w:r>
              <w:t>kV</w:t>
            </w:r>
          </w:p>
        </w:tc>
        <w:tc>
          <w:tcPr>
            <w:tcW w:w="3112" w:type="dxa"/>
            <w:shd w:val="clear" w:color="auto" w:fill="auto"/>
            <w:vAlign w:val="center"/>
          </w:tcPr>
          <w:p>
            <w:pPr>
              <w:pStyle w:val="178"/>
            </w:pPr>
            <w:r>
              <w:t xml:space="preserve">13.5 </w:t>
            </w:r>
            <w:r>
              <w:rPr>
                <w:rFonts w:hint="eastAsia"/>
              </w:rPr>
              <w:t>m</w:t>
            </w:r>
          </w:p>
        </w:tc>
        <w:tc>
          <w:tcPr>
            <w:tcW w:w="3112" w:type="dxa"/>
            <w:shd w:val="clear" w:color="auto" w:fill="auto"/>
            <w:vAlign w:val="center"/>
          </w:tcPr>
          <w:p>
            <w:pPr>
              <w:pStyle w:val="178"/>
            </w:pPr>
            <w:r>
              <w:t xml:space="preserve">13.5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3110" w:type="dxa"/>
            <w:shd w:val="clear" w:color="auto" w:fill="auto"/>
            <w:vAlign w:val="center"/>
          </w:tcPr>
          <w:p>
            <w:pPr>
              <w:pStyle w:val="178"/>
            </w:pPr>
            <w:r>
              <w:t>100</w:t>
            </w:r>
            <w:r>
              <w:rPr>
                <w:rFonts w:hint="eastAsia"/>
              </w:rPr>
              <w:t xml:space="preserve">0 </w:t>
            </w:r>
            <w:r>
              <w:t>kV</w:t>
            </w:r>
          </w:p>
        </w:tc>
        <w:tc>
          <w:tcPr>
            <w:tcW w:w="3112" w:type="dxa"/>
            <w:shd w:val="clear" w:color="auto" w:fill="auto"/>
            <w:vAlign w:val="center"/>
          </w:tcPr>
          <w:p>
            <w:pPr>
              <w:pStyle w:val="178"/>
            </w:pPr>
            <w:r>
              <w:t>1</w:t>
            </w:r>
            <w:r>
              <w:rPr>
                <w:rFonts w:hint="eastAsia"/>
              </w:rPr>
              <w:t>4</w:t>
            </w:r>
            <w:r>
              <w:t xml:space="preserve">.0 </w:t>
            </w:r>
            <w:r>
              <w:rPr>
                <w:rFonts w:hint="eastAsia"/>
              </w:rPr>
              <w:t>m</w:t>
            </w:r>
          </w:p>
        </w:tc>
        <w:tc>
          <w:tcPr>
            <w:tcW w:w="3112" w:type="dxa"/>
            <w:shd w:val="clear" w:color="auto" w:fill="auto"/>
            <w:vAlign w:val="center"/>
          </w:tcPr>
          <w:p>
            <w:pPr>
              <w:pStyle w:val="178"/>
            </w:pPr>
            <w:r>
              <w:t xml:space="preserve">16.0 </w:t>
            </w:r>
            <w:r>
              <w:rPr>
                <w:rFonts w:hint="eastAsia"/>
              </w:rPr>
              <w:t>m</w:t>
            </w:r>
          </w:p>
        </w:tc>
      </w:tr>
    </w:tbl>
    <w:p>
      <w:pPr>
        <w:pStyle w:val="167"/>
      </w:pPr>
      <w:r>
        <w:rPr>
          <w:rFonts w:hint="eastAsia"/>
        </w:rPr>
        <w:t>架空电力线路应避让林区，要求</w:t>
      </w:r>
      <w:r>
        <w:t>如下：</w:t>
      </w:r>
    </w:p>
    <w:p>
      <w:pPr>
        <w:pStyle w:val="174"/>
        <w:numPr>
          <w:ilvl w:val="0"/>
          <w:numId w:val="34"/>
        </w:numPr>
      </w:pPr>
      <w:r>
        <w:rPr>
          <w:rFonts w:hint="eastAsia"/>
        </w:rPr>
        <w:t>确需穿越林区的，电力企业应依法办理采伐手续；</w:t>
      </w:r>
    </w:p>
    <w:p>
      <w:pPr>
        <w:pStyle w:val="174"/>
        <w:numPr>
          <w:ilvl w:val="0"/>
          <w:numId w:val="34"/>
        </w:numPr>
      </w:pPr>
      <w:r>
        <w:rPr>
          <w:rFonts w:hint="eastAsia"/>
        </w:rPr>
        <w:t>架空电力线路通道内不应再种植危及电力设施安全的树木；</w:t>
      </w:r>
    </w:p>
    <w:p>
      <w:pPr>
        <w:pStyle w:val="174"/>
        <w:numPr>
          <w:ilvl w:val="0"/>
          <w:numId w:val="34"/>
        </w:numPr>
      </w:pPr>
      <w:r>
        <w:rPr>
          <w:rFonts w:hint="eastAsia"/>
        </w:rPr>
        <w:t>电力线路建设单位征用、占用林地或者采伐树木，应办理征用、占用、采伐手续，并依法给予林地、树木所有者补偿后，方可进行；</w:t>
      </w:r>
    </w:p>
    <w:p>
      <w:pPr>
        <w:pStyle w:val="174"/>
        <w:numPr>
          <w:ilvl w:val="0"/>
          <w:numId w:val="34"/>
        </w:numPr>
      </w:pPr>
      <w:r>
        <w:rPr>
          <w:rFonts w:hint="eastAsia"/>
        </w:rPr>
        <w:t>对不影响线路安全运行、不妨碍线路巡视、检修的树木，不应采伐，但电力线路建设单位应与树木所有者或者管理者签订协议，确保树木自然生长最终高度与导线之间的安全距离。</w:t>
      </w:r>
    </w:p>
    <w:p>
      <w:pPr>
        <w:pStyle w:val="65"/>
        <w:spacing w:before="156" w:after="156"/>
      </w:pPr>
      <w:bookmarkStart w:id="107" w:name="_Toc130918452"/>
      <w:r>
        <w:rPr>
          <w:rFonts w:hint="eastAsia"/>
        </w:rPr>
        <w:t>电力电缆线路保护区</w:t>
      </w:r>
      <w:bookmarkEnd w:id="107"/>
    </w:p>
    <w:p>
      <w:pPr>
        <w:pStyle w:val="164"/>
      </w:pPr>
      <w:r>
        <w:rPr>
          <w:rFonts w:hint="eastAsia"/>
        </w:rPr>
        <w:t>地下电缆为电缆线路地面标桩两侧各0.75 m所形成的两平行线内的区域。</w:t>
      </w:r>
    </w:p>
    <w:p>
      <w:pPr>
        <w:pStyle w:val="164"/>
        <w:rPr>
          <w:rFonts w:hint="eastAsia"/>
        </w:rPr>
      </w:pPr>
      <w:r>
        <w:rPr>
          <w:rFonts w:hint="eastAsia"/>
        </w:rPr>
        <w:t>江河电缆不宜小于线路两侧各100 m（中、小河流不宜小于各50 m）所形成的两平行线内的水域。</w:t>
      </w:r>
    </w:p>
    <w:p>
      <w:pPr>
        <w:pStyle w:val="65"/>
        <w:spacing w:before="156" w:after="156"/>
        <w:rPr>
          <w:color w:val="000000" w:themeColor="text1"/>
          <w14:textFill>
            <w14:solidFill>
              <w14:schemeClr w14:val="tx1"/>
            </w14:solidFill>
          </w14:textFill>
        </w:rPr>
      </w:pPr>
      <w:bookmarkStart w:id="108" w:name="_Toc130918453"/>
      <w:r>
        <w:rPr>
          <w:rFonts w:hint="eastAsia"/>
          <w:color w:val="000000" w:themeColor="text1"/>
          <w14:textFill>
            <w14:solidFill>
              <w14:schemeClr w14:val="tx1"/>
            </w14:solidFill>
          </w14:textFill>
        </w:rPr>
        <w:t>发电厂、热电厂等保护区</w:t>
      </w:r>
      <w:bookmarkEnd w:id="108"/>
    </w:p>
    <w:p>
      <w:pPr>
        <w:pStyle w:val="16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发电厂、热电厂、变电站专用的输水、输油、冲灰、供热管道两侧各1.5 </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所形成的区域。</w:t>
      </w:r>
    </w:p>
    <w:p>
      <w:pPr>
        <w:pStyle w:val="16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发电厂、热电厂、调度所、变电站及其附属设施围墙内和</w:t>
      </w:r>
      <w:r>
        <w:rPr>
          <w:rFonts w:hint="eastAsia"/>
          <w:color w:val="000000" w:themeColor="text1"/>
          <w:highlight w:val="none"/>
          <w14:textFill>
            <w14:solidFill>
              <w14:schemeClr w14:val="tx1"/>
            </w14:solidFill>
          </w14:textFill>
        </w:rPr>
        <w:t>自围墙向外延伸</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m</w:t>
      </w:r>
      <w:r>
        <w:rPr>
          <w:rFonts w:hint="eastAsia"/>
          <w:color w:val="000000" w:themeColor="text1"/>
          <w:highlight w:val="none"/>
          <w14:textFill>
            <w14:solidFill>
              <w14:schemeClr w14:val="tx1"/>
            </w14:solidFill>
          </w14:textFill>
        </w:rPr>
        <w:t>的区域。</w:t>
      </w:r>
    </w:p>
    <w:p>
      <w:pPr>
        <w:pStyle w:val="65"/>
        <w:spacing w:before="156" w:after="156"/>
        <w:rPr>
          <w:color w:val="000000" w:themeColor="text1"/>
          <w14:textFill>
            <w14:solidFill>
              <w14:schemeClr w14:val="tx1"/>
            </w14:solidFill>
          </w14:textFill>
        </w:rPr>
      </w:pPr>
      <w:bookmarkStart w:id="109" w:name="_Toc130918454"/>
      <w:r>
        <w:rPr>
          <w:rFonts w:hint="eastAsia"/>
          <w:color w:val="000000" w:themeColor="text1"/>
          <w14:textFill>
            <w14:solidFill>
              <w14:schemeClr w14:val="tx1"/>
            </w14:solidFill>
          </w14:textFill>
        </w:rPr>
        <w:t>杆塔、拉线的基础保护区</w:t>
      </w:r>
      <w:bookmarkEnd w:id="109"/>
    </w:p>
    <w:p>
      <w:pPr>
        <w:pStyle w:val="16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35 </w:t>
      </w:r>
      <w:r>
        <w:rPr>
          <w:color w:val="000000" w:themeColor="text1"/>
          <w14:textFill>
            <w14:solidFill>
              <w14:schemeClr w14:val="tx1"/>
            </w14:solidFill>
          </w14:textFill>
        </w:rPr>
        <w:t>kV</w:t>
      </w:r>
      <w:r>
        <w:rPr>
          <w:rFonts w:hint="eastAsia"/>
          <w:color w:val="000000" w:themeColor="text1"/>
          <w14:textFill>
            <w14:solidFill>
              <w14:schemeClr w14:val="tx1"/>
            </w14:solidFill>
          </w14:textFill>
        </w:rPr>
        <w:t xml:space="preserve">以下的，杆塔从基础外缘向周围延伸5 </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 xml:space="preserve">，拉线从基础外缘向周围延伸2 </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w:t>
      </w:r>
    </w:p>
    <w:p>
      <w:pPr>
        <w:pStyle w:val="16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110 </w:t>
      </w:r>
      <w:r>
        <w:rPr>
          <w:color w:val="000000" w:themeColor="text1"/>
          <w14:textFill>
            <w14:solidFill>
              <w14:schemeClr w14:val="tx1"/>
            </w14:solidFill>
          </w14:textFill>
        </w:rPr>
        <w:t>kV</w:t>
      </w:r>
      <w:r>
        <w:rPr>
          <w:rFonts w:hint="eastAsia"/>
          <w:color w:val="000000" w:themeColor="text1"/>
          <w14:textFill>
            <w14:solidFill>
              <w14:schemeClr w14:val="tx1"/>
            </w14:solidFill>
          </w14:textFill>
        </w:rPr>
        <w:t xml:space="preserve">以上的，杆塔从基础外缘向周围延伸10 </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 xml:space="preserve">，拉线从基础外缘向周围延伸3 </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w:t>
      </w:r>
    </w:p>
    <w:p>
      <w:pPr>
        <w:pStyle w:val="104"/>
        <w:spacing w:before="312" w:after="312"/>
      </w:pPr>
      <w:bookmarkStart w:id="110" w:name="_Toc130918455"/>
      <w:bookmarkStart w:id="111" w:name="_Toc129027390"/>
      <w:bookmarkStart w:id="112" w:name="_Toc130915810"/>
      <w:bookmarkStart w:id="113" w:name="_Toc128389010"/>
      <w:bookmarkStart w:id="114" w:name="_Toc129035679"/>
      <w:r>
        <w:rPr>
          <w:rFonts w:hint="eastAsia"/>
        </w:rPr>
        <w:t>保护措施</w:t>
      </w:r>
      <w:bookmarkEnd w:id="110"/>
      <w:bookmarkEnd w:id="111"/>
      <w:bookmarkEnd w:id="112"/>
      <w:bookmarkEnd w:id="113"/>
      <w:bookmarkEnd w:id="114"/>
    </w:p>
    <w:p>
      <w:pPr>
        <w:pStyle w:val="105"/>
        <w:spacing w:before="156" w:after="156"/>
      </w:pPr>
      <w:bookmarkStart w:id="115" w:name="_Toc129035680"/>
      <w:bookmarkStart w:id="116" w:name="_Toc130918456"/>
      <w:bookmarkStart w:id="117" w:name="_Toc128389011"/>
      <w:bookmarkStart w:id="118" w:name="_Toc130915811"/>
      <w:bookmarkStart w:id="119" w:name="_Toc129027391"/>
      <w:r>
        <w:rPr>
          <w:rFonts w:hint="eastAsia"/>
        </w:rPr>
        <w:t>安全标志</w:t>
      </w:r>
      <w:bookmarkEnd w:id="115"/>
      <w:bookmarkEnd w:id="116"/>
      <w:bookmarkEnd w:id="117"/>
      <w:bookmarkEnd w:id="118"/>
      <w:bookmarkEnd w:id="119"/>
    </w:p>
    <w:p>
      <w:pPr>
        <w:pStyle w:val="56"/>
        <w:ind w:firstLine="420"/>
      </w:pPr>
      <w:r>
        <w:rPr>
          <w:rFonts w:hint="eastAsia"/>
        </w:rPr>
        <w:t>电力行政主管部门应在下列地点设置安全标志：</w:t>
      </w:r>
      <w:r>
        <w:t xml:space="preserve"> </w:t>
      </w:r>
    </w:p>
    <w:p>
      <w:pPr>
        <w:pStyle w:val="174"/>
        <w:numPr>
          <w:ilvl w:val="0"/>
          <w:numId w:val="35"/>
        </w:numPr>
      </w:pPr>
      <w:r>
        <w:rPr>
          <w:rFonts w:hint="eastAsia"/>
        </w:rPr>
        <w:t>架空电力线路穿越的人口密集地段、人员活动频繁的地区；</w:t>
      </w:r>
    </w:p>
    <w:p>
      <w:pPr>
        <w:pStyle w:val="174"/>
        <w:numPr>
          <w:ilvl w:val="0"/>
          <w:numId w:val="35"/>
        </w:numPr>
      </w:pPr>
      <w:r>
        <w:rPr>
          <w:rFonts w:hint="eastAsia"/>
        </w:rPr>
        <w:t>车辆、机械频繁穿越架空电力线路的地段；</w:t>
      </w:r>
    </w:p>
    <w:p>
      <w:pPr>
        <w:pStyle w:val="174"/>
        <w:numPr>
          <w:ilvl w:val="0"/>
          <w:numId w:val="35"/>
        </w:numPr>
      </w:pPr>
      <w:r>
        <w:rPr>
          <w:rFonts w:hint="eastAsia"/>
        </w:rPr>
        <w:t>电力线路上的变压器平台；</w:t>
      </w:r>
    </w:p>
    <w:p>
      <w:pPr>
        <w:pStyle w:val="174"/>
        <w:numPr>
          <w:ilvl w:val="0"/>
          <w:numId w:val="35"/>
        </w:numPr>
      </w:pPr>
      <w:r>
        <w:rPr>
          <w:rFonts w:hint="eastAsia"/>
        </w:rPr>
        <w:t>在必要的架空电力线路保护区的区界上，并标明保护区的宽度和保护规定；</w:t>
      </w:r>
      <w:r>
        <w:t xml:space="preserve"> </w:t>
      </w:r>
    </w:p>
    <w:p>
      <w:pPr>
        <w:pStyle w:val="174"/>
        <w:numPr>
          <w:ilvl w:val="0"/>
          <w:numId w:val="35"/>
        </w:numPr>
      </w:pPr>
      <w:r>
        <w:rPr>
          <w:rFonts w:hint="eastAsia"/>
        </w:rPr>
        <w:t>在架空电力线路导线跨越重要公路和航道的区段，并标明导线距穿越物体之间的安全距离；</w:t>
      </w:r>
    </w:p>
    <w:p>
      <w:pPr>
        <w:pStyle w:val="174"/>
        <w:numPr>
          <w:ilvl w:val="0"/>
          <w:numId w:val="35"/>
        </w:numPr>
      </w:pPr>
      <w:r>
        <w:rPr>
          <w:rFonts w:hint="eastAsia"/>
        </w:rPr>
        <w:t>地下电缆铺设后，并将地下电缆所在位置书面通知有关部门；</w:t>
      </w:r>
    </w:p>
    <w:p>
      <w:pPr>
        <w:pStyle w:val="174"/>
        <w:numPr>
          <w:ilvl w:val="0"/>
          <w:numId w:val="35"/>
        </w:numPr>
      </w:pPr>
      <w:r>
        <w:rPr>
          <w:rFonts w:hint="eastAsia"/>
        </w:rPr>
        <w:t>水底电缆敷设后，并将水底电缆所在位置书面通知有关部门。</w:t>
      </w:r>
    </w:p>
    <w:p>
      <w:pPr>
        <w:pStyle w:val="105"/>
        <w:spacing w:before="156" w:after="156"/>
      </w:pPr>
      <w:bookmarkStart w:id="120" w:name="_Toc128389012"/>
      <w:bookmarkStart w:id="121" w:name="_Toc129035681"/>
      <w:bookmarkStart w:id="122" w:name="_Toc130918457"/>
      <w:bookmarkStart w:id="123" w:name="_Toc130915812"/>
      <w:bookmarkStart w:id="124" w:name="_Toc129027392"/>
      <w:r>
        <w:rPr>
          <w:rFonts w:hint="eastAsia"/>
        </w:rPr>
        <w:t>爆破作业</w:t>
      </w:r>
      <w:bookmarkEnd w:id="120"/>
      <w:bookmarkEnd w:id="121"/>
      <w:bookmarkEnd w:id="122"/>
      <w:bookmarkEnd w:id="123"/>
      <w:bookmarkEnd w:id="124"/>
    </w:p>
    <w:p>
      <w:pPr>
        <w:pStyle w:val="56"/>
        <w:ind w:firstLine="420"/>
      </w:pPr>
      <w:r>
        <w:rPr>
          <w:rFonts w:hint="eastAsia"/>
        </w:rPr>
        <w:t>任何单位和个人不应在距电力设施周围500 m范围内（指水平距离）进行爆破作业。因工作需要进行爆破作业时，应按规定采取可靠的安全防范措施，确保电力设施安全，并征得电力企业的书面同意，报经有关部门批准。在规定范围外进行爆破作业必须确保电力设施安全。</w:t>
      </w:r>
    </w:p>
    <w:p>
      <w:pPr>
        <w:pStyle w:val="105"/>
        <w:spacing w:before="156" w:after="156"/>
      </w:pPr>
      <w:bookmarkStart w:id="125" w:name="_Toc130915813"/>
      <w:bookmarkStart w:id="126" w:name="_Toc129035682"/>
      <w:bookmarkStart w:id="127" w:name="_Toc128389013"/>
      <w:bookmarkStart w:id="128" w:name="_Toc130918458"/>
      <w:bookmarkStart w:id="129" w:name="_Toc129027393"/>
      <w:r>
        <w:rPr>
          <w:rFonts w:hint="eastAsia"/>
        </w:rPr>
        <w:t>电力设施</w:t>
      </w:r>
      <w:r>
        <w:t>建设</w:t>
      </w:r>
      <w:bookmarkEnd w:id="125"/>
      <w:bookmarkEnd w:id="126"/>
      <w:bookmarkEnd w:id="127"/>
      <w:bookmarkEnd w:id="128"/>
      <w:bookmarkEnd w:id="129"/>
    </w:p>
    <w:p>
      <w:pPr>
        <w:pStyle w:val="56"/>
        <w:ind w:firstLine="420"/>
      </w:pPr>
      <w:r>
        <w:rPr>
          <w:rFonts w:hint="eastAsia"/>
        </w:rPr>
        <w:t>任何单位和个人不应从事下列危害电力设施建设的行为：</w:t>
      </w:r>
      <w:r>
        <w:t xml:space="preserve"> </w:t>
      </w:r>
    </w:p>
    <w:p>
      <w:pPr>
        <w:pStyle w:val="174"/>
        <w:numPr>
          <w:ilvl w:val="0"/>
          <w:numId w:val="36"/>
        </w:numPr>
      </w:pPr>
      <w:r>
        <w:rPr>
          <w:rFonts w:hint="eastAsia"/>
        </w:rPr>
        <w:t>进入电力工程施工现场扰乱施工，涂改、移动、损坏、拔除电力设施建设的测量标桩和标记；</w:t>
      </w:r>
    </w:p>
    <w:p>
      <w:pPr>
        <w:pStyle w:val="174"/>
      </w:pPr>
      <w:r>
        <w:rPr>
          <w:rFonts w:hint="eastAsia"/>
        </w:rPr>
        <w:t>非法侵占电力设施建设项目依法征用的土地；</w:t>
      </w:r>
    </w:p>
    <w:p>
      <w:pPr>
        <w:pStyle w:val="174"/>
      </w:pPr>
      <w:r>
        <w:rPr>
          <w:rFonts w:hint="eastAsia"/>
        </w:rPr>
        <w:t>破坏、封堵施工道路，截断施工水源、电源，或者聚众干扰、阻挠电力设施建设的正常进行。</w:t>
      </w:r>
    </w:p>
    <w:p>
      <w:pPr>
        <w:pStyle w:val="105"/>
        <w:spacing w:before="156" w:after="156"/>
      </w:pPr>
      <w:bookmarkStart w:id="130" w:name="_Toc128389014"/>
      <w:bookmarkStart w:id="131" w:name="_Toc129027394"/>
      <w:bookmarkStart w:id="132" w:name="_Toc130915814"/>
      <w:bookmarkStart w:id="133" w:name="_Toc130918459"/>
      <w:bookmarkStart w:id="134" w:name="_Toc129035683"/>
      <w:r>
        <w:rPr>
          <w:rFonts w:hint="eastAsia"/>
        </w:rPr>
        <w:t>架空电力线路</w:t>
      </w:r>
      <w:bookmarkEnd w:id="130"/>
      <w:bookmarkEnd w:id="131"/>
      <w:bookmarkEnd w:id="132"/>
      <w:bookmarkEnd w:id="133"/>
      <w:bookmarkEnd w:id="134"/>
    </w:p>
    <w:p>
      <w:pPr>
        <w:pStyle w:val="56"/>
        <w:ind w:firstLine="420"/>
      </w:pPr>
      <w:r>
        <w:rPr>
          <w:rFonts w:hint="eastAsia"/>
        </w:rPr>
        <w:t>任何单位和个人不应在距架空电力线路杆塔、拉线基础外缘规定的范围内（见</w:t>
      </w:r>
      <w:r>
        <w:t>表4</w:t>
      </w:r>
      <w:r>
        <w:rPr>
          <w:rFonts w:hint="eastAsia"/>
        </w:rPr>
        <w:t>）进行取土、打桩、钻探、开挖或者倾倒酸、碱、盐及其他化学物品的活动。在规定距离范围外进行活动的，应遵守下列规定：</w:t>
      </w:r>
    </w:p>
    <w:p>
      <w:pPr>
        <w:pStyle w:val="174"/>
        <w:numPr>
          <w:ilvl w:val="0"/>
          <w:numId w:val="37"/>
        </w:numPr>
      </w:pPr>
      <w:r>
        <w:rPr>
          <w:rFonts w:hint="eastAsia"/>
        </w:rPr>
        <w:t>预留出通往杆塔、拉线基础供巡视和检修人员、车辆通行的道路；</w:t>
      </w:r>
    </w:p>
    <w:p>
      <w:pPr>
        <w:pStyle w:val="174"/>
      </w:pPr>
      <w:r>
        <w:rPr>
          <w:rFonts w:hint="eastAsia"/>
        </w:rPr>
        <w:t>不应影响电力设施基础的稳定，对可能引起基础周围土壤、砂石滑坡的，应负责修筑护坡加固；</w:t>
      </w:r>
    </w:p>
    <w:p>
      <w:pPr>
        <w:pStyle w:val="174"/>
      </w:pPr>
      <w:r>
        <w:rPr>
          <w:rFonts w:hint="eastAsia"/>
        </w:rPr>
        <w:t>不应损坏电力设施接地装置或者改变其埋设深度。</w:t>
      </w:r>
    </w:p>
    <w:p>
      <w:pPr>
        <w:pStyle w:val="112"/>
        <w:spacing w:before="156" w:after="156"/>
      </w:pPr>
      <w:r>
        <w:rPr>
          <w:rFonts w:hint="eastAsia"/>
        </w:rPr>
        <w:t>距架空电力线路杆塔、拉线基础外缘规定</w:t>
      </w:r>
      <w:r>
        <w:t>的范围</w:t>
      </w:r>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67"/>
        <w:gridCol w:w="4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4667" w:type="dxa"/>
            <w:tcBorders>
              <w:top w:val="single" w:color="auto" w:sz="8" w:space="0"/>
              <w:bottom w:val="single" w:color="auto" w:sz="8" w:space="0"/>
            </w:tcBorders>
            <w:shd w:val="clear" w:color="auto" w:fill="auto"/>
            <w:vAlign w:val="center"/>
          </w:tcPr>
          <w:p>
            <w:pPr>
              <w:pStyle w:val="178"/>
            </w:pPr>
            <w:r>
              <w:rPr>
                <w:rFonts w:hint="eastAsia"/>
              </w:rPr>
              <w:t>电压等级</w:t>
            </w:r>
          </w:p>
        </w:tc>
        <w:tc>
          <w:tcPr>
            <w:tcW w:w="4667" w:type="dxa"/>
            <w:tcBorders>
              <w:top w:val="single" w:color="auto" w:sz="8" w:space="0"/>
              <w:bottom w:val="single" w:color="auto" w:sz="8" w:space="0"/>
            </w:tcBorders>
            <w:shd w:val="clear" w:color="auto" w:fill="auto"/>
            <w:vAlign w:val="center"/>
          </w:tcPr>
          <w:p>
            <w:pPr>
              <w:pStyle w:val="178"/>
            </w:pPr>
            <w:r>
              <w:rPr>
                <w:rFonts w:hint="eastAsia"/>
              </w:rPr>
              <w:t>距架空电力线路杆塔、拉线基础外缘规定</w:t>
            </w:r>
            <w:r>
              <w:t>的范围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tcBorders>
              <w:top w:val="single" w:color="auto" w:sz="8" w:space="0"/>
            </w:tcBorders>
            <w:shd w:val="clear" w:color="auto" w:fill="auto"/>
            <w:vAlign w:val="center"/>
          </w:tcPr>
          <w:p>
            <w:pPr>
              <w:pStyle w:val="178"/>
            </w:pPr>
            <w:r>
              <w:rPr>
                <w:rFonts w:hint="eastAsia"/>
              </w:rPr>
              <w:t>35</w:t>
            </w:r>
            <w:r>
              <w:t xml:space="preserve"> kV</w:t>
            </w:r>
            <w:r>
              <w:rPr>
                <w:rFonts w:hint="eastAsia"/>
              </w:rPr>
              <w:t>及以下</w:t>
            </w:r>
          </w:p>
        </w:tc>
        <w:tc>
          <w:tcPr>
            <w:tcW w:w="4667" w:type="dxa"/>
            <w:tcBorders>
              <w:top w:val="single" w:color="auto" w:sz="8" w:space="0"/>
            </w:tcBorders>
            <w:shd w:val="clear" w:color="auto" w:fill="auto"/>
            <w:vAlign w:val="center"/>
          </w:tcPr>
          <w:p>
            <w:pPr>
              <w:pStyle w:val="178"/>
            </w:pPr>
            <w:r>
              <w:rPr>
                <w:rFonts w:hint="eastAsia"/>
              </w:rPr>
              <w:t>5</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rPr>
                <w:rFonts w:hint="eastAsia"/>
              </w:rPr>
              <w:t>110</w:t>
            </w:r>
            <w:r>
              <w:t xml:space="preserve"> kV</w:t>
            </w:r>
            <w:r>
              <w:rPr>
                <w:rFonts w:hint="eastAsia"/>
              </w:rPr>
              <w:t>～500</w:t>
            </w:r>
            <w:r>
              <w:t xml:space="preserve"> kV</w:t>
            </w:r>
          </w:p>
        </w:tc>
        <w:tc>
          <w:tcPr>
            <w:tcW w:w="4667" w:type="dxa"/>
            <w:shd w:val="clear" w:color="auto" w:fill="auto"/>
            <w:vAlign w:val="center"/>
          </w:tcPr>
          <w:p>
            <w:pPr>
              <w:pStyle w:val="178"/>
            </w:pPr>
            <w:r>
              <w:rPr>
                <w:rFonts w:hint="eastAsia"/>
              </w:rPr>
              <w:t>10</w:t>
            </w:r>
            <w:r>
              <w:t xml:space="preserve"> </w:t>
            </w:r>
            <w:r>
              <w:rPr>
                <w:rFonts w:hint="eastAsia"/>
              </w:rPr>
              <w: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667" w:type="dxa"/>
            <w:shd w:val="clear" w:color="auto" w:fill="auto"/>
            <w:vAlign w:val="center"/>
          </w:tcPr>
          <w:p>
            <w:pPr>
              <w:pStyle w:val="178"/>
            </w:pPr>
            <w:r>
              <w:rPr>
                <w:rFonts w:hint="eastAsia"/>
              </w:rPr>
              <w:t>750</w:t>
            </w:r>
            <w:r>
              <w:t xml:space="preserve"> kV</w:t>
            </w:r>
          </w:p>
        </w:tc>
        <w:tc>
          <w:tcPr>
            <w:tcW w:w="4667" w:type="dxa"/>
            <w:shd w:val="clear" w:color="auto" w:fill="auto"/>
            <w:vAlign w:val="center"/>
          </w:tcPr>
          <w:p>
            <w:pPr>
              <w:pStyle w:val="178"/>
            </w:pPr>
            <w:r>
              <w:rPr>
                <w:rFonts w:hint="eastAsia"/>
              </w:rPr>
              <w:t>15</w:t>
            </w:r>
            <w:r>
              <w:t xml:space="preserve"> </w:t>
            </w:r>
            <w:r>
              <w:rPr>
                <w:rFonts w:hint="eastAsia"/>
              </w:rPr>
              <w:t>m</w:t>
            </w:r>
          </w:p>
        </w:tc>
      </w:tr>
    </w:tbl>
    <w:p>
      <w:pPr>
        <w:pStyle w:val="105"/>
        <w:spacing w:before="156" w:after="156"/>
      </w:pPr>
      <w:bookmarkStart w:id="135" w:name="_Toc130918460"/>
      <w:bookmarkStart w:id="136" w:name="_Toc128389015"/>
      <w:bookmarkStart w:id="137" w:name="_Toc129035684"/>
      <w:bookmarkStart w:id="138" w:name="_Toc129027395"/>
      <w:bookmarkStart w:id="139" w:name="_Toc130915815"/>
      <w:r>
        <w:rPr>
          <w:rFonts w:hint="eastAsia"/>
        </w:rPr>
        <w:t>发电、变电设施</w:t>
      </w:r>
      <w:bookmarkEnd w:id="135"/>
      <w:bookmarkEnd w:id="136"/>
      <w:bookmarkEnd w:id="137"/>
      <w:bookmarkEnd w:id="138"/>
      <w:bookmarkEnd w:id="139"/>
    </w:p>
    <w:p>
      <w:pPr>
        <w:pStyle w:val="56"/>
        <w:ind w:firstLine="420"/>
      </w:pPr>
      <w:r>
        <w:rPr>
          <w:rFonts w:hint="eastAsia"/>
        </w:rPr>
        <w:t>任何单位或个人，不应从事下列危害发电、变电设施的行为：</w:t>
      </w:r>
      <w:r>
        <w:t xml:space="preserve"> </w:t>
      </w:r>
    </w:p>
    <w:p>
      <w:pPr>
        <w:pStyle w:val="174"/>
        <w:numPr>
          <w:ilvl w:val="0"/>
          <w:numId w:val="38"/>
        </w:numPr>
      </w:pPr>
      <w:r>
        <w:rPr>
          <w:rFonts w:hint="eastAsia"/>
        </w:rPr>
        <w:t>闯入发电厂、变电站内扰乱生产和工作秩序，移动、损坏或涂改发电、变电设施及其标志物；</w:t>
      </w:r>
    </w:p>
    <w:p>
      <w:pPr>
        <w:pStyle w:val="174"/>
        <w:numPr>
          <w:ilvl w:val="0"/>
          <w:numId w:val="38"/>
        </w:numPr>
      </w:pPr>
      <w:r>
        <w:rPr>
          <w:rFonts w:hint="eastAsia"/>
        </w:rPr>
        <w:t>危及输水、输油、供热、排灰等管道（沟）的安全运行；</w:t>
      </w:r>
    </w:p>
    <w:p>
      <w:pPr>
        <w:pStyle w:val="174"/>
        <w:numPr>
          <w:ilvl w:val="0"/>
          <w:numId w:val="38"/>
        </w:numPr>
      </w:pPr>
      <w:r>
        <w:rPr>
          <w:rFonts w:hint="eastAsia"/>
        </w:rPr>
        <w:t>影响专用铁路、公路、桥梁的使用；</w:t>
      </w:r>
    </w:p>
    <w:p>
      <w:pPr>
        <w:pStyle w:val="174"/>
        <w:numPr>
          <w:ilvl w:val="0"/>
          <w:numId w:val="38"/>
        </w:numPr>
        <w:rPr>
          <w:color w:val="000000" w:themeColor="text1"/>
          <w14:textFill>
            <w14:solidFill>
              <w14:schemeClr w14:val="tx1"/>
            </w14:solidFill>
          </w14:textFill>
        </w:rPr>
      </w:pPr>
      <w:r>
        <w:rPr>
          <w:rFonts w:hint="eastAsia"/>
          <w:color w:val="000000" w:themeColor="text1"/>
          <w14:textFill>
            <w14:solidFill>
              <w14:schemeClr w14:val="tx1"/>
            </w14:solidFill>
          </w14:textFill>
        </w:rPr>
        <w:t>在用于水力发电的水库内，进入距水工建筑物300 m区域内炸鱼、捕鱼、游泳、划船及其他可能危及水工建筑物安全的行为；</w:t>
      </w:r>
    </w:p>
    <w:p>
      <w:pPr>
        <w:pStyle w:val="174"/>
        <w:numPr>
          <w:ilvl w:val="0"/>
          <w:numId w:val="38"/>
        </w:numPr>
        <w:rPr>
          <w:color w:val="000000" w:themeColor="text1"/>
          <w14:textFill>
            <w14:solidFill>
              <w14:schemeClr w14:val="tx1"/>
            </w14:solidFill>
          </w14:textFill>
        </w:rPr>
      </w:pPr>
      <w:r>
        <w:rPr>
          <w:rFonts w:hint="eastAsia"/>
          <w:color w:val="000000" w:themeColor="text1"/>
          <w14:textFill>
            <w14:solidFill>
              <w14:schemeClr w14:val="tx1"/>
            </w14:solidFill>
          </w14:textFill>
        </w:rPr>
        <w:t>进入</w:t>
      </w:r>
      <w:r>
        <w:rPr>
          <w:color w:val="000000" w:themeColor="text1"/>
          <w14:textFill>
            <w14:solidFill>
              <w14:schemeClr w14:val="tx1"/>
            </w14:solidFill>
          </w14:textFill>
        </w:rPr>
        <w:t>距</w:t>
      </w:r>
      <w:r>
        <w:rPr>
          <w:rFonts w:hint="eastAsia"/>
          <w:color w:val="000000" w:themeColor="text1"/>
          <w14:textFill>
            <w14:solidFill>
              <w14:schemeClr w14:val="tx1"/>
            </w14:solidFill>
          </w14:textFill>
        </w:rPr>
        <w:t>发电、变电设施50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m的区域内无人机喷洒农药等作业，</w:t>
      </w:r>
      <w:r>
        <w:rPr>
          <w:rFonts w:ascii="方正仿宋_GBK" w:hAnsi="方正仿宋_GBK"/>
          <w:color w:val="000000" w:themeColor="text1"/>
          <w:szCs w:val="21"/>
          <w14:textFill>
            <w14:solidFill>
              <w14:schemeClr w14:val="tx1"/>
            </w14:solidFill>
          </w14:textFill>
        </w:rPr>
        <w:t>2</w:t>
      </w:r>
      <w:r>
        <w:rPr>
          <w:rFonts w:hint="eastAsia" w:ascii="方正仿宋_GBK" w:hAnsi="方正仿宋_GBK"/>
          <w:color w:val="000000" w:themeColor="text1"/>
          <w:szCs w:val="21"/>
          <w14:textFill>
            <w14:solidFill>
              <w14:schemeClr w14:val="tx1"/>
            </w14:solidFill>
          </w14:textFill>
        </w:rPr>
        <w:t xml:space="preserve"> </w:t>
      </w:r>
      <w:r>
        <w:rPr>
          <w:rFonts w:ascii="方正仿宋_GBK" w:hAnsi="方正仿宋_GBK"/>
          <w:color w:val="000000" w:themeColor="text1"/>
          <w:szCs w:val="21"/>
          <w14:textFill>
            <w14:solidFill>
              <w14:schemeClr w14:val="tx1"/>
            </w14:solidFill>
          </w14:textFill>
        </w:rPr>
        <w:t>km</w:t>
      </w:r>
      <w:r>
        <w:rPr>
          <w:rFonts w:hint="eastAsia" w:ascii="方正仿宋_GBK" w:hAnsi="方正仿宋_GBK"/>
          <w:color w:val="000000" w:themeColor="text1"/>
          <w:szCs w:val="21"/>
          <w14:textFill>
            <w14:solidFill>
              <w14:schemeClr w14:val="tx1"/>
            </w14:solidFill>
          </w14:textFill>
        </w:rPr>
        <w:t>的范围</w:t>
      </w:r>
      <w:r>
        <w:rPr>
          <w:rFonts w:ascii="方正仿宋_GBK" w:hAnsi="方正仿宋_GBK"/>
          <w:color w:val="000000" w:themeColor="text1"/>
          <w:szCs w:val="21"/>
          <w14:textFill>
            <w14:solidFill>
              <w14:schemeClr w14:val="tx1"/>
            </w14:solidFill>
          </w14:textFill>
        </w:rPr>
        <w:t>内修建垃圾处理厂</w:t>
      </w:r>
      <w:r>
        <w:rPr>
          <w:rFonts w:hint="eastAsia" w:ascii="方正仿宋_GBK" w:hAnsi="方正仿宋_GBK"/>
          <w:color w:val="000000" w:themeColor="text1"/>
          <w:szCs w:val="21"/>
          <w14:textFill>
            <w14:solidFill>
              <w14:schemeClr w14:val="tx1"/>
            </w14:solidFill>
          </w14:textFill>
        </w:rPr>
        <w:t>；</w:t>
      </w:r>
    </w:p>
    <w:p>
      <w:pPr>
        <w:pStyle w:val="174"/>
        <w:numPr>
          <w:ilvl w:val="0"/>
          <w:numId w:val="38"/>
        </w:numPr>
      </w:pPr>
      <w:r>
        <w:rPr>
          <w:rFonts w:hint="eastAsia"/>
          <w:color w:val="000000" w:themeColor="text1"/>
          <w14:textFill>
            <w14:solidFill>
              <w14:schemeClr w14:val="tx1"/>
            </w14:solidFill>
          </w14:textFill>
        </w:rPr>
        <w:t>擅</w:t>
      </w:r>
      <w:r>
        <w:rPr>
          <w:rFonts w:hint="eastAsia"/>
        </w:rPr>
        <w:t>自攀登变电设施，或者利用变电设施拴牲畜、悬挂物体、张贴广告等；</w:t>
      </w:r>
      <w:r>
        <w:t xml:space="preserve"> </w:t>
      </w:r>
    </w:p>
    <w:p>
      <w:pPr>
        <w:pStyle w:val="174"/>
        <w:numPr>
          <w:ilvl w:val="0"/>
          <w:numId w:val="38"/>
        </w:numPr>
      </w:pPr>
      <w:r>
        <w:rPr>
          <w:rFonts w:hint="eastAsia"/>
        </w:rPr>
        <w:t>在发电设施和变电设施的地下进行危及发电、变电设施安全的作业；</w:t>
      </w:r>
    </w:p>
    <w:p>
      <w:pPr>
        <w:pStyle w:val="174"/>
        <w:numPr>
          <w:ilvl w:val="0"/>
          <w:numId w:val="38"/>
        </w:numPr>
      </w:pPr>
      <w:r>
        <w:rPr>
          <w:rFonts w:hint="eastAsia"/>
        </w:rPr>
        <w:t>在变电站围墙外从事危及变电设施安全的活动；</w:t>
      </w:r>
    </w:p>
    <w:p>
      <w:pPr>
        <w:pStyle w:val="174"/>
        <w:numPr>
          <w:ilvl w:val="0"/>
          <w:numId w:val="38"/>
        </w:numPr>
      </w:pPr>
      <w:r>
        <w:rPr>
          <w:rFonts w:hint="eastAsia"/>
        </w:rPr>
        <w:t>其他危害发电、变电设施的行为。</w:t>
      </w:r>
    </w:p>
    <w:p>
      <w:pPr>
        <w:pStyle w:val="105"/>
        <w:spacing w:before="156" w:after="156"/>
      </w:pPr>
      <w:bookmarkStart w:id="140" w:name="_Toc129027396"/>
      <w:bookmarkStart w:id="141" w:name="_Toc130918461"/>
      <w:bookmarkStart w:id="142" w:name="_Toc130915816"/>
      <w:bookmarkStart w:id="143" w:name="_Toc129035685"/>
      <w:bookmarkStart w:id="144" w:name="_Toc128389016"/>
      <w:r>
        <w:rPr>
          <w:rFonts w:hint="eastAsia"/>
        </w:rPr>
        <w:t>电力线路设施</w:t>
      </w:r>
      <w:bookmarkEnd w:id="140"/>
      <w:bookmarkEnd w:id="141"/>
      <w:bookmarkEnd w:id="142"/>
      <w:bookmarkEnd w:id="143"/>
      <w:bookmarkEnd w:id="144"/>
    </w:p>
    <w:p>
      <w:pPr>
        <w:pStyle w:val="56"/>
        <w:ind w:firstLine="420"/>
      </w:pPr>
      <w:r>
        <w:rPr>
          <w:rFonts w:hint="eastAsia"/>
        </w:rPr>
        <w:t>任何单位或个人，不应从事下列危害电力线路设施的行为：</w:t>
      </w:r>
    </w:p>
    <w:p>
      <w:pPr>
        <w:pStyle w:val="174"/>
        <w:numPr>
          <w:ilvl w:val="0"/>
          <w:numId w:val="39"/>
        </w:numPr>
      </w:pPr>
      <w:r>
        <w:rPr>
          <w:rFonts w:hint="eastAsia"/>
        </w:rPr>
        <w:t>向电力线路设施射击；</w:t>
      </w:r>
    </w:p>
    <w:p>
      <w:pPr>
        <w:pStyle w:val="174"/>
        <w:numPr>
          <w:ilvl w:val="0"/>
          <w:numId w:val="39"/>
        </w:numPr>
        <w:rPr>
          <w:color w:val="000000" w:themeColor="text1"/>
          <w14:textFill>
            <w14:solidFill>
              <w14:schemeClr w14:val="tx1"/>
            </w14:solidFill>
          </w14:textFill>
        </w:rPr>
      </w:pPr>
      <w:r>
        <w:rPr>
          <w:rFonts w:hint="eastAsia"/>
          <w:color w:val="000000" w:themeColor="text1"/>
          <w14:textFill>
            <w14:solidFill>
              <w14:schemeClr w14:val="tx1"/>
            </w14:solidFill>
          </w14:textFill>
        </w:rPr>
        <w:t>向导线抛掷物体，擅自在导线上接用电器设备；</w:t>
      </w:r>
    </w:p>
    <w:p>
      <w:pPr>
        <w:pStyle w:val="174"/>
        <w:numPr>
          <w:ilvl w:val="0"/>
          <w:numId w:val="39"/>
        </w:numPr>
        <w:rPr>
          <w:color w:val="000000" w:themeColor="text1"/>
          <w14:textFill>
            <w14:solidFill>
              <w14:schemeClr w14:val="tx1"/>
            </w14:solidFill>
          </w14:textFill>
        </w:rPr>
      </w:pPr>
      <w:r>
        <w:rPr>
          <w:rFonts w:hint="eastAsia"/>
          <w:color w:val="000000" w:themeColor="text1"/>
          <w14:textFill>
            <w14:solidFill>
              <w14:schemeClr w14:val="tx1"/>
            </w14:solidFill>
          </w14:textFill>
        </w:rPr>
        <w:t>在架空电力线路导线两侧各</w:t>
      </w:r>
      <w:r>
        <w:rPr>
          <w:color w:val="000000" w:themeColor="text1"/>
          <w14:textFill>
            <w14:solidFill>
              <w14:schemeClr w14:val="tx1"/>
            </w14:solidFill>
          </w14:textFill>
        </w:rPr>
        <w:t>300 m</w:t>
      </w:r>
      <w:r>
        <w:rPr>
          <w:rFonts w:hint="eastAsia"/>
          <w:color w:val="000000" w:themeColor="text1"/>
          <w14:textFill>
            <w14:solidFill>
              <w14:schemeClr w14:val="tx1"/>
            </w14:solidFill>
          </w14:textFill>
        </w:rPr>
        <w:t>的区域内放风筝或者悬置气球等易漂浮的物体；</w:t>
      </w:r>
      <w:r>
        <w:rPr>
          <w:color w:val="000000" w:themeColor="text1"/>
          <w14:textFill>
            <w14:solidFill>
              <w14:schemeClr w14:val="tx1"/>
            </w14:solidFill>
          </w14:textFill>
        </w:rPr>
        <w:t xml:space="preserve"> </w:t>
      </w:r>
    </w:p>
    <w:p>
      <w:pPr>
        <w:pStyle w:val="174"/>
        <w:numPr>
          <w:ilvl w:val="0"/>
          <w:numId w:val="39"/>
        </w:numPr>
        <w:rPr>
          <w:color w:val="000000" w:themeColor="text1"/>
          <w14:textFill>
            <w14:solidFill>
              <w14:schemeClr w14:val="tx1"/>
            </w14:solidFill>
          </w14:textFill>
        </w:rPr>
      </w:pPr>
      <w:r>
        <w:rPr>
          <w:rFonts w:hint="eastAsia"/>
          <w:color w:val="000000" w:themeColor="text1"/>
          <w14:textFill>
            <w14:solidFill>
              <w14:schemeClr w14:val="tx1"/>
            </w14:solidFill>
          </w14:textFill>
        </w:rPr>
        <w:t>在架空电力线路导线两侧</w:t>
      </w:r>
      <w:r>
        <w:rPr>
          <w:color w:val="000000" w:themeColor="text1"/>
          <w14:textFill>
            <w14:solidFill>
              <w14:schemeClr w14:val="tx1"/>
            </w14:solidFill>
          </w14:textFill>
        </w:rPr>
        <w:t>各</w:t>
      </w:r>
      <w:r>
        <w:rPr>
          <w:rFonts w:hint="eastAsia"/>
          <w:color w:val="000000" w:themeColor="text1"/>
          <w14:textFill>
            <w14:solidFill>
              <w14:schemeClr w14:val="tx1"/>
            </w14:solidFill>
          </w14:textFill>
        </w:rPr>
        <w:t>50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m的区域内进行无人机喷洒农药等作业，</w:t>
      </w:r>
      <w:r>
        <w:rPr>
          <w:rFonts w:ascii="方正仿宋_GBK" w:hAnsi="方正仿宋_GBK"/>
          <w:color w:val="000000" w:themeColor="text1"/>
          <w:szCs w:val="21"/>
          <w14:textFill>
            <w14:solidFill>
              <w14:schemeClr w14:val="tx1"/>
            </w14:solidFill>
          </w14:textFill>
        </w:rPr>
        <w:t>2</w:t>
      </w:r>
      <w:r>
        <w:rPr>
          <w:rFonts w:hint="eastAsia" w:ascii="方正仿宋_GBK" w:hAnsi="方正仿宋_GBK"/>
          <w:color w:val="000000" w:themeColor="text1"/>
          <w:szCs w:val="21"/>
          <w14:textFill>
            <w14:solidFill>
              <w14:schemeClr w14:val="tx1"/>
            </w14:solidFill>
          </w14:textFill>
        </w:rPr>
        <w:t xml:space="preserve"> </w:t>
      </w:r>
      <w:r>
        <w:rPr>
          <w:rFonts w:ascii="方正仿宋_GBK" w:hAnsi="方正仿宋_GBK"/>
          <w:color w:val="000000" w:themeColor="text1"/>
          <w:szCs w:val="21"/>
          <w14:textFill>
            <w14:solidFill>
              <w14:schemeClr w14:val="tx1"/>
            </w14:solidFill>
          </w14:textFill>
        </w:rPr>
        <w:t>km</w:t>
      </w:r>
      <w:r>
        <w:rPr>
          <w:rFonts w:hint="eastAsia" w:ascii="方正仿宋_GBK" w:hAnsi="方正仿宋_GBK"/>
          <w:color w:val="000000" w:themeColor="text1"/>
          <w:szCs w:val="21"/>
          <w14:textFill>
            <w14:solidFill>
              <w14:schemeClr w14:val="tx1"/>
            </w14:solidFill>
          </w14:textFill>
        </w:rPr>
        <w:t>的范围</w:t>
      </w:r>
      <w:r>
        <w:rPr>
          <w:rFonts w:ascii="方正仿宋_GBK" w:hAnsi="方正仿宋_GBK"/>
          <w:color w:val="000000" w:themeColor="text1"/>
          <w:szCs w:val="21"/>
          <w14:textFill>
            <w14:solidFill>
              <w14:schemeClr w14:val="tx1"/>
            </w14:solidFill>
          </w14:textFill>
        </w:rPr>
        <w:t>内修建垃圾处理厂</w:t>
      </w:r>
    </w:p>
    <w:p>
      <w:pPr>
        <w:pStyle w:val="174"/>
        <w:numPr>
          <w:ilvl w:val="0"/>
          <w:numId w:val="39"/>
        </w:numPr>
      </w:pPr>
      <w:r>
        <w:rPr>
          <w:rFonts w:hint="eastAsia"/>
        </w:rPr>
        <w:t>擅自攀登杆塔或在杆塔上架设电力线、通信线、广播线，安装广播喇叭；</w:t>
      </w:r>
    </w:p>
    <w:p>
      <w:pPr>
        <w:pStyle w:val="174"/>
        <w:numPr>
          <w:ilvl w:val="0"/>
          <w:numId w:val="39"/>
        </w:numPr>
      </w:pPr>
      <w:r>
        <w:rPr>
          <w:rFonts w:hint="eastAsia"/>
        </w:rPr>
        <w:t>利用杆塔、拉线作起重牵引地锚或者在杆塔、拉线上拴牲畜、悬挂物体、攀附农作物；</w:t>
      </w:r>
    </w:p>
    <w:p>
      <w:pPr>
        <w:pStyle w:val="174"/>
        <w:numPr>
          <w:ilvl w:val="0"/>
          <w:numId w:val="39"/>
        </w:numPr>
      </w:pPr>
      <w:r>
        <w:rPr>
          <w:rFonts w:hint="eastAsia"/>
        </w:rPr>
        <w:t>在杆塔内（不含杆塔与杆塔之间）或杆塔与拉线之间修筑道路；</w:t>
      </w:r>
    </w:p>
    <w:p>
      <w:pPr>
        <w:pStyle w:val="174"/>
        <w:numPr>
          <w:ilvl w:val="0"/>
          <w:numId w:val="39"/>
        </w:numPr>
      </w:pPr>
      <w:r>
        <w:rPr>
          <w:rFonts w:hint="eastAsia"/>
        </w:rPr>
        <w:t>拆卸杆塔或拉线上的器材，移动、损坏永久性标志或标志牌；</w:t>
      </w:r>
    </w:p>
    <w:p>
      <w:pPr>
        <w:pStyle w:val="174"/>
        <w:numPr>
          <w:ilvl w:val="0"/>
          <w:numId w:val="39"/>
        </w:numPr>
      </w:pPr>
      <w:r>
        <w:rPr>
          <w:rFonts w:hint="eastAsia"/>
        </w:rPr>
        <w:t>其他危害电力线路设施的行为。</w:t>
      </w:r>
    </w:p>
    <w:p>
      <w:pPr>
        <w:pStyle w:val="105"/>
        <w:spacing w:before="156" w:after="156"/>
      </w:pPr>
      <w:bookmarkStart w:id="145" w:name="_Toc129035686"/>
      <w:bookmarkStart w:id="146" w:name="_Toc130918462"/>
      <w:bookmarkStart w:id="147" w:name="_Toc130915817"/>
      <w:bookmarkStart w:id="148" w:name="_Toc128389017"/>
      <w:bookmarkStart w:id="149" w:name="_Toc129027397"/>
      <w:r>
        <w:rPr>
          <w:rFonts w:hint="eastAsia"/>
        </w:rPr>
        <w:t>保护区</w:t>
      </w:r>
      <w:bookmarkEnd w:id="145"/>
      <w:bookmarkEnd w:id="146"/>
      <w:bookmarkEnd w:id="147"/>
      <w:bookmarkEnd w:id="148"/>
      <w:bookmarkEnd w:id="149"/>
    </w:p>
    <w:p>
      <w:pPr>
        <w:pStyle w:val="65"/>
        <w:spacing w:before="156" w:after="156"/>
      </w:pPr>
      <w:bookmarkStart w:id="150" w:name="_Toc130918463"/>
      <w:r>
        <w:rPr>
          <w:rFonts w:hint="eastAsia"/>
        </w:rPr>
        <w:t>基本要求</w:t>
      </w:r>
      <w:bookmarkEnd w:id="150"/>
    </w:p>
    <w:p>
      <w:pPr>
        <w:pStyle w:val="56"/>
        <w:ind w:firstLine="420"/>
      </w:pPr>
      <w:r>
        <w:rPr>
          <w:rFonts w:hint="eastAsia"/>
        </w:rPr>
        <w:t>任何单位或个人应经电力行政主管部门批准，并采取安全措施后，方可进行下列作业或活动：</w:t>
      </w:r>
      <w:r>
        <w:t xml:space="preserve"> </w:t>
      </w:r>
    </w:p>
    <w:p>
      <w:pPr>
        <w:pStyle w:val="174"/>
        <w:numPr>
          <w:ilvl w:val="0"/>
          <w:numId w:val="40"/>
        </w:numPr>
      </w:pPr>
      <w:r>
        <w:rPr>
          <w:rFonts w:hint="eastAsia"/>
        </w:rPr>
        <w:t>在架空电力线路保护区内，进行农田水利基本建设工程及打桩、钻探、开挖等作业；</w:t>
      </w:r>
    </w:p>
    <w:p>
      <w:pPr>
        <w:pStyle w:val="174"/>
      </w:pPr>
      <w:r>
        <w:rPr>
          <w:rFonts w:hint="eastAsia"/>
        </w:rPr>
        <w:t>起重机械的任何部位进入架空电力线路保护区进行施工；</w:t>
      </w:r>
    </w:p>
    <w:p>
      <w:pPr>
        <w:pStyle w:val="174"/>
      </w:pPr>
      <w:r>
        <w:rPr>
          <w:rFonts w:hint="eastAsia"/>
        </w:rPr>
        <w:t>小于导线距穿越物体之间的安全距离，通过架空电力线路保护区；</w:t>
      </w:r>
    </w:p>
    <w:p>
      <w:pPr>
        <w:pStyle w:val="174"/>
      </w:pPr>
      <w:r>
        <w:rPr>
          <w:rFonts w:hint="eastAsia"/>
        </w:rPr>
        <w:t>超过4</w:t>
      </w:r>
      <w:r>
        <w:t xml:space="preserve"> </w:t>
      </w:r>
      <w:r>
        <w:rPr>
          <w:rFonts w:hint="eastAsia"/>
        </w:rPr>
        <w:t>m高度的车辆、机械和物体，其最高点与架空电力线路的距离小于相应电压等级的安全距离通过架空电力线路；</w:t>
      </w:r>
      <w:r>
        <w:t xml:space="preserve"> </w:t>
      </w:r>
    </w:p>
    <w:p>
      <w:pPr>
        <w:pStyle w:val="174"/>
      </w:pPr>
      <w:r>
        <w:rPr>
          <w:rFonts w:hint="eastAsia"/>
        </w:rPr>
        <w:t>在电力电缆线路保护区内进行作业。</w:t>
      </w:r>
    </w:p>
    <w:p>
      <w:pPr>
        <w:pStyle w:val="65"/>
        <w:spacing w:before="156" w:after="156"/>
      </w:pPr>
      <w:bookmarkStart w:id="151" w:name="_Toc130918464"/>
      <w:r>
        <w:rPr>
          <w:rFonts w:hint="eastAsia"/>
        </w:rPr>
        <w:t>架空电力线路保护区</w:t>
      </w:r>
      <w:bookmarkEnd w:id="151"/>
    </w:p>
    <w:p>
      <w:pPr>
        <w:pStyle w:val="56"/>
        <w:ind w:firstLine="420"/>
      </w:pPr>
      <w:r>
        <w:rPr>
          <w:rFonts w:hint="eastAsia"/>
        </w:rPr>
        <w:t>任何单位或个人在架空电力线路保护区内，应遵守下列规定：</w:t>
      </w:r>
      <w:r>
        <w:t xml:space="preserve"> </w:t>
      </w:r>
    </w:p>
    <w:p>
      <w:pPr>
        <w:pStyle w:val="174"/>
        <w:numPr>
          <w:ilvl w:val="0"/>
          <w:numId w:val="41"/>
        </w:numPr>
      </w:pPr>
      <w:r>
        <w:rPr>
          <w:rFonts w:hint="eastAsia"/>
        </w:rPr>
        <w:t>不应堆放谷物、草料、垃圾、矿渣、易燃物、易爆物及其他影响安全供电的物品；</w:t>
      </w:r>
    </w:p>
    <w:p>
      <w:pPr>
        <w:pStyle w:val="174"/>
        <w:numPr>
          <w:ilvl w:val="0"/>
          <w:numId w:val="41"/>
        </w:numPr>
      </w:pPr>
      <w:r>
        <w:rPr>
          <w:rFonts w:hint="eastAsia"/>
        </w:rPr>
        <w:t>不应烧窑、烧荒；</w:t>
      </w:r>
    </w:p>
    <w:p>
      <w:pPr>
        <w:pStyle w:val="174"/>
        <w:numPr>
          <w:ilvl w:val="0"/>
          <w:numId w:val="41"/>
        </w:numPr>
      </w:pPr>
      <w:r>
        <w:rPr>
          <w:rFonts w:hint="eastAsia"/>
        </w:rPr>
        <w:t>不应兴建建筑物、构筑物、焚烧秸秆、燃烧烟花爆竹；</w:t>
      </w:r>
      <w:r>
        <w:t xml:space="preserve"> </w:t>
      </w:r>
    </w:p>
    <w:p>
      <w:pPr>
        <w:pStyle w:val="174"/>
        <w:numPr>
          <w:ilvl w:val="0"/>
          <w:numId w:val="41"/>
        </w:numPr>
      </w:pPr>
      <w:r>
        <w:rPr>
          <w:rFonts w:hint="eastAsia"/>
        </w:rPr>
        <w:t>不应种植可能危及电力设施和供电安全的植物；</w:t>
      </w:r>
    </w:p>
    <w:p>
      <w:pPr>
        <w:pStyle w:val="174"/>
        <w:numPr>
          <w:ilvl w:val="0"/>
          <w:numId w:val="41"/>
        </w:numPr>
      </w:pPr>
      <w:r>
        <w:rPr>
          <w:rFonts w:hint="eastAsia"/>
        </w:rPr>
        <w:t>不应攀登变压器台架、杆塔和拉线；</w:t>
      </w:r>
      <w:r>
        <w:t xml:space="preserve"> </w:t>
      </w:r>
    </w:p>
    <w:p>
      <w:pPr>
        <w:pStyle w:val="174"/>
        <w:numPr>
          <w:ilvl w:val="0"/>
          <w:numId w:val="41"/>
        </w:numPr>
      </w:pPr>
      <w:r>
        <w:rPr>
          <w:rFonts w:hint="eastAsia"/>
        </w:rPr>
        <w:t>不应设置大型广告牌、悬置气球等易漂浮的物体；</w:t>
      </w:r>
      <w:r>
        <w:t xml:space="preserve"> </w:t>
      </w:r>
    </w:p>
    <w:p>
      <w:pPr>
        <w:pStyle w:val="174"/>
        <w:numPr>
          <w:ilvl w:val="0"/>
          <w:numId w:val="41"/>
        </w:numPr>
      </w:pPr>
      <w:r>
        <w:rPr>
          <w:rFonts w:hint="eastAsia"/>
        </w:rPr>
        <w:t>不应放飞航模、风筝以及悬挂气球或者其他飘浮物，不应挖掘、经营鱼塘或者垂钓；</w:t>
      </w:r>
      <w:r>
        <w:t xml:space="preserve"> </w:t>
      </w:r>
    </w:p>
    <w:p>
      <w:pPr>
        <w:pStyle w:val="174"/>
        <w:numPr>
          <w:ilvl w:val="0"/>
          <w:numId w:val="41"/>
        </w:numPr>
      </w:pPr>
      <w:r>
        <w:rPr>
          <w:rFonts w:hint="eastAsia"/>
        </w:rPr>
        <w:t>不应实施导致导线对地距离缩小的填埋、铺垫等活动；</w:t>
      </w:r>
    </w:p>
    <w:p>
      <w:pPr>
        <w:pStyle w:val="174"/>
        <w:numPr>
          <w:ilvl w:val="0"/>
          <w:numId w:val="41"/>
        </w:numPr>
      </w:pPr>
      <w:r>
        <w:rPr>
          <w:rFonts w:hint="eastAsia"/>
        </w:rPr>
        <w:t>经当地电力主管部门同意，可以保留或种植自然生长最终高度与导线之间符合安全距离的树木。</w:t>
      </w:r>
    </w:p>
    <w:p>
      <w:pPr>
        <w:pStyle w:val="65"/>
        <w:spacing w:before="156" w:after="156"/>
      </w:pPr>
      <w:bookmarkStart w:id="152" w:name="_Toc130918465"/>
      <w:r>
        <w:rPr>
          <w:rFonts w:hint="eastAsia"/>
        </w:rPr>
        <w:t>电力电缆线路保护区</w:t>
      </w:r>
      <w:bookmarkEnd w:id="152"/>
    </w:p>
    <w:p>
      <w:pPr>
        <w:pStyle w:val="56"/>
        <w:ind w:firstLine="420"/>
      </w:pPr>
      <w:r>
        <w:rPr>
          <w:rFonts w:hint="eastAsia"/>
        </w:rPr>
        <w:t>任何单位或个人在电力电缆线路保护区内，应遵守下列规定：</w:t>
      </w:r>
      <w:r>
        <w:t xml:space="preserve"> </w:t>
      </w:r>
    </w:p>
    <w:p>
      <w:pPr>
        <w:pStyle w:val="174"/>
        <w:numPr>
          <w:ilvl w:val="0"/>
          <w:numId w:val="42"/>
        </w:numPr>
      </w:pPr>
      <w:r>
        <w:rPr>
          <w:rFonts w:hint="eastAsia"/>
        </w:rPr>
        <w:t>不应在地下电缆保护区内堆放垃圾、矿渣、易燃物、易爆物，倾倒酸、碱、盐及其他有害化物品，兴建建筑物、构筑物或种植树木；</w:t>
      </w:r>
    </w:p>
    <w:p>
      <w:pPr>
        <w:pStyle w:val="174"/>
        <w:numPr>
          <w:ilvl w:val="0"/>
          <w:numId w:val="42"/>
        </w:numPr>
        <w:rPr>
          <w:color w:val="5B9BD5" w:themeColor="accent5"/>
          <w14:textFill>
            <w14:solidFill>
              <w14:schemeClr w14:val="accent5"/>
            </w14:solidFill>
          </w14:textFill>
        </w:rPr>
      </w:pPr>
      <w:r>
        <w:rPr>
          <w:rFonts w:hint="eastAsia"/>
        </w:rPr>
        <w:t>不应在江河电缆保护区内抛锚、拖锚、炸鱼、挖沙。</w:t>
      </w:r>
    </w:p>
    <w:p>
      <w:pPr>
        <w:pStyle w:val="105"/>
        <w:spacing w:before="156" w:after="156"/>
      </w:pPr>
      <w:bookmarkStart w:id="153" w:name="_Toc129027398"/>
      <w:bookmarkStart w:id="154" w:name="_Toc130915818"/>
      <w:bookmarkStart w:id="155" w:name="_Toc129035687"/>
      <w:bookmarkStart w:id="156" w:name="_Toc128389018"/>
      <w:bookmarkStart w:id="157" w:name="_Toc130918466"/>
      <w:r>
        <w:rPr>
          <w:rFonts w:hint="eastAsia"/>
        </w:rPr>
        <w:t>电力设施器材</w:t>
      </w:r>
      <w:bookmarkEnd w:id="153"/>
      <w:bookmarkEnd w:id="154"/>
      <w:bookmarkEnd w:id="155"/>
      <w:bookmarkEnd w:id="156"/>
      <w:bookmarkEnd w:id="157"/>
    </w:p>
    <w:p>
      <w:pPr>
        <w:pStyle w:val="165"/>
      </w:pPr>
      <w:r>
        <w:rPr>
          <w:rFonts w:hint="eastAsia"/>
        </w:rPr>
        <w:t>经县级以上地方物资、商业管理部门会同市场监督</w:t>
      </w:r>
      <w:r>
        <w:t>管理</w:t>
      </w:r>
      <w:r>
        <w:rPr>
          <w:rFonts w:hint="eastAsia"/>
        </w:rPr>
        <w:t>部门、公安部门批准的商业企业可在批准的范围内查验证明、登记收购电力设施器材。</w:t>
      </w:r>
    </w:p>
    <w:p>
      <w:pPr>
        <w:pStyle w:val="165"/>
      </w:pPr>
      <w:r>
        <w:rPr>
          <w:rFonts w:hint="eastAsia"/>
        </w:rPr>
        <w:t>出售、收购电力设施器材要求</w:t>
      </w:r>
      <w:r>
        <w:t xml:space="preserve">如下： </w:t>
      </w:r>
    </w:p>
    <w:p>
      <w:pPr>
        <w:pStyle w:val="174"/>
        <w:numPr>
          <w:ilvl w:val="0"/>
          <w:numId w:val="43"/>
        </w:numPr>
      </w:pPr>
      <w:r>
        <w:rPr>
          <w:rFonts w:hint="eastAsia"/>
        </w:rPr>
        <w:t>任何单位出售电力设施器材，应持有本单位证明；</w:t>
      </w:r>
    </w:p>
    <w:p>
      <w:pPr>
        <w:pStyle w:val="174"/>
      </w:pPr>
      <w:r>
        <w:rPr>
          <w:rFonts w:hint="eastAsia"/>
        </w:rPr>
        <w:t>任何个人出售电力设施器材，应持有所在单位或所在居民委员会、村民委员会出具的证明，到规定的商业企业出售；</w:t>
      </w:r>
    </w:p>
    <w:p>
      <w:pPr>
        <w:pStyle w:val="174"/>
      </w:pPr>
      <w:r>
        <w:rPr>
          <w:rFonts w:hint="eastAsia"/>
        </w:rPr>
        <w:t>任何单位或个人不应非法出售、收购电力设施器材。</w:t>
      </w:r>
    </w:p>
    <w:p>
      <w:pPr>
        <w:pStyle w:val="174"/>
      </w:pPr>
      <w:r>
        <w:rPr>
          <w:rFonts w:hint="eastAsia"/>
        </w:rPr>
        <w:t>收购废旧电力设施器材设备的单位，收购废旧电力设施器材时，应查验出售单位的证明，如实登记出售单位名称和经办人的姓名、住址、身份证号码及出售物品的来源、名称、数量、规格、新旧程度等，对无法提供合法来源的，不应进行收购。</w:t>
      </w:r>
    </w:p>
    <w:p>
      <w:pPr>
        <w:pStyle w:val="105"/>
        <w:spacing w:before="156" w:after="156"/>
      </w:pPr>
      <w:bookmarkStart w:id="158" w:name="_Toc129035688"/>
      <w:bookmarkStart w:id="159" w:name="_Toc128389019"/>
      <w:bookmarkStart w:id="160" w:name="_Toc130918467"/>
      <w:bookmarkStart w:id="161" w:name="_Toc130915819"/>
      <w:bookmarkStart w:id="162" w:name="_Toc129027399"/>
      <w:r>
        <w:rPr>
          <w:rFonts w:hint="eastAsia"/>
        </w:rPr>
        <w:t>巡视</w:t>
      </w:r>
      <w:r>
        <w:t>、维护、</w:t>
      </w:r>
      <w:r>
        <w:rPr>
          <w:rFonts w:hint="eastAsia"/>
        </w:rPr>
        <w:t>检修</w:t>
      </w:r>
      <w:bookmarkEnd w:id="158"/>
      <w:bookmarkEnd w:id="159"/>
      <w:bookmarkEnd w:id="160"/>
      <w:bookmarkEnd w:id="161"/>
      <w:bookmarkEnd w:id="162"/>
    </w:p>
    <w:p>
      <w:pPr>
        <w:pStyle w:val="165"/>
      </w:pPr>
      <w:r>
        <w:rPr>
          <w:rFonts w:hint="eastAsia"/>
        </w:rPr>
        <w:t>电力企业应定期巡视、维护、检修电力设施，及时抢修故障、处理事故。</w:t>
      </w:r>
    </w:p>
    <w:p>
      <w:pPr>
        <w:pStyle w:val="165"/>
      </w:pPr>
      <w:r>
        <w:rPr>
          <w:rFonts w:hint="eastAsia"/>
        </w:rPr>
        <w:t>任何单位和个人不应干扰、阻碍电力企业依法对电力设施进行巡视、维护、检修以及抢修故障和处理事故。</w:t>
      </w:r>
    </w:p>
    <w:p>
      <w:pPr>
        <w:pStyle w:val="165"/>
      </w:pPr>
      <w:r>
        <w:rPr>
          <w:rFonts w:hint="eastAsia"/>
        </w:rPr>
        <w:t>电力企业发现在电力设施保护区内修建危及电力设施安全的建筑物、构筑物以及其他危及电力设施安全的行为，有权要求当事人停止作业、恢复原状、消除危险，并报告电力行政主管部门。</w:t>
      </w:r>
    </w:p>
    <w:p>
      <w:pPr>
        <w:pStyle w:val="165"/>
      </w:pPr>
      <w:r>
        <w:rPr>
          <w:rFonts w:hint="eastAsia"/>
        </w:rPr>
        <w:t>因自然灾害或者突发性事件等危害电力设施安全的，电力企业可先行采取紧急措施，防止危害电力设施安全的事故发生，并立即报告电力行政主管部门。电力企业实施紧急措施后，应及时告知利害关系人。</w:t>
      </w:r>
    </w:p>
    <w:p>
      <w:pPr>
        <w:pStyle w:val="165"/>
        <w:numPr>
          <w:ilvl w:val="0"/>
          <w:numId w:val="0"/>
        </w:numPr>
      </w:pPr>
    </w:p>
    <w:bookmarkEnd w:id="28"/>
    <w:p>
      <w:pPr>
        <w:pStyle w:val="165"/>
        <w:numPr>
          <w:ilvl w:val="0"/>
          <w:numId w:val="0"/>
        </w:numPr>
        <w:sectPr>
          <w:pgSz w:w="11906" w:h="16838"/>
          <w:pgMar w:top="1928" w:right="1134" w:bottom="1134" w:left="1134" w:header="1418" w:footer="1134" w:gutter="284"/>
          <w:pgNumType w:start="1"/>
          <w:cols w:space="425" w:num="1"/>
          <w:formProt w:val="0"/>
          <w:docGrid w:type="lines" w:linePitch="312" w:charSpace="0"/>
        </w:sectPr>
      </w:pPr>
      <w:bookmarkStart w:id="163" w:name="BookMark6"/>
    </w:p>
    <w:p>
      <w:pPr>
        <w:pStyle w:val="63"/>
        <w:spacing w:after="156"/>
      </w:pPr>
      <w:bookmarkStart w:id="164" w:name="_Toc130915820"/>
      <w:bookmarkStart w:id="165" w:name="_Toc130918468"/>
      <w:bookmarkStart w:id="166" w:name="_Toc129027400"/>
      <w:bookmarkStart w:id="167" w:name="_Toc129035689"/>
      <w:r>
        <w:rPr>
          <w:rFonts w:hint="eastAsia"/>
          <w:spacing w:val="105"/>
        </w:rPr>
        <w:t>参考文</w:t>
      </w:r>
      <w:r>
        <w:rPr>
          <w:rFonts w:hint="eastAsia"/>
        </w:rPr>
        <w:t>献</w:t>
      </w:r>
      <w:bookmarkEnd w:id="164"/>
      <w:bookmarkEnd w:id="165"/>
      <w:bookmarkEnd w:id="166"/>
      <w:bookmarkEnd w:id="167"/>
    </w:p>
    <w:p>
      <w:pPr>
        <w:pStyle w:val="56"/>
        <w:numPr>
          <w:ilvl w:val="0"/>
          <w:numId w:val="44"/>
        </w:numPr>
        <w:ind w:firstLineChars="0"/>
      </w:pPr>
      <w:r>
        <w:t xml:space="preserve"> </w:t>
      </w:r>
      <w:r>
        <w:rPr>
          <w:rFonts w:hint="eastAsia"/>
        </w:rPr>
        <w:t>GA 1089-2013  电力设施治安风险等级和安全防护要求</w:t>
      </w:r>
    </w:p>
    <w:p>
      <w:pPr>
        <w:pStyle w:val="56"/>
        <w:numPr>
          <w:ilvl w:val="0"/>
          <w:numId w:val="44"/>
        </w:numPr>
        <w:ind w:left="0" w:firstLine="420"/>
      </w:pPr>
      <w:r>
        <w:rPr>
          <w:rFonts w:hint="eastAsia"/>
        </w:rPr>
        <w:t xml:space="preserve"> 电力设施保护条例 </w:t>
      </w:r>
      <w:r>
        <w:t xml:space="preserve"> </w:t>
      </w:r>
      <w:r>
        <w:rPr>
          <w:rFonts w:hint="eastAsia"/>
        </w:rPr>
        <w:t>2011年1月8日中华人民共和国国务院令第239号</w:t>
      </w:r>
    </w:p>
    <w:p>
      <w:pPr>
        <w:pStyle w:val="56"/>
        <w:numPr>
          <w:ilvl w:val="0"/>
          <w:numId w:val="44"/>
        </w:numPr>
        <w:ind w:left="0" w:firstLine="420"/>
      </w:pPr>
      <w:r>
        <w:rPr>
          <w:rFonts w:hint="eastAsia"/>
        </w:rPr>
        <w:t xml:space="preserve"> 山西省电力设施保护条例  2014年7月25日山西省十二届人大常委会第12次会议通过</w:t>
      </w:r>
    </w:p>
    <w:p>
      <w:pPr>
        <w:pStyle w:val="56"/>
        <w:numPr>
          <w:ilvl w:val="0"/>
          <w:numId w:val="44"/>
        </w:numPr>
        <w:ind w:left="0" w:firstLine="420"/>
      </w:pPr>
      <w:r>
        <w:rPr>
          <w:rFonts w:hint="eastAsia"/>
        </w:rPr>
        <w:t xml:space="preserve"> 吉林省电力设施保护条例  2009年11月27日吉林省十一届人大常委会第十五次会议通过</w:t>
      </w:r>
    </w:p>
    <w:p>
      <w:pPr>
        <w:pStyle w:val="56"/>
        <w:numPr>
          <w:ilvl w:val="0"/>
          <w:numId w:val="44"/>
        </w:numPr>
        <w:ind w:left="0" w:firstLine="420"/>
      </w:pPr>
      <w:r>
        <w:rPr>
          <w:rFonts w:hint="eastAsia"/>
        </w:rPr>
        <w:t xml:space="preserve"> 东莞市电力设施保护管理办法  2019年2月20日东莞市人民政府令第151号公布</w:t>
      </w:r>
    </w:p>
    <w:p>
      <w:pPr>
        <w:pStyle w:val="56"/>
        <w:numPr>
          <w:ilvl w:val="0"/>
          <w:numId w:val="44"/>
        </w:numPr>
        <w:ind w:left="0" w:firstLine="420"/>
      </w:pPr>
      <w:r>
        <w:rPr>
          <w:rFonts w:hint="eastAsia"/>
        </w:rPr>
        <w:t xml:space="preserve"> 天津市电力设施保护管理办法  2021年12月31日天津市人民政府令第26号</w:t>
      </w:r>
    </w:p>
    <w:p>
      <w:pPr>
        <w:pStyle w:val="56"/>
        <w:numPr>
          <w:ilvl w:val="0"/>
          <w:numId w:val="44"/>
        </w:numPr>
        <w:ind w:left="0" w:firstLine="420"/>
      </w:pPr>
      <w:r>
        <w:rPr>
          <w:rFonts w:hint="eastAsia"/>
        </w:rPr>
        <w:t xml:space="preserve"> 宁夏回族自治区电力设施保护条例  2012年9月25日宁夏回族自治区第十届人民代表大会常务委员会第三十二次会议通过</w:t>
      </w:r>
    </w:p>
    <w:p>
      <w:pPr>
        <w:pStyle w:val="56"/>
        <w:numPr>
          <w:ilvl w:val="0"/>
          <w:numId w:val="44"/>
        </w:numPr>
        <w:ind w:left="0" w:firstLine="420"/>
      </w:pPr>
      <w:r>
        <w:t xml:space="preserve"> </w:t>
      </w:r>
      <w:r>
        <w:rPr>
          <w:rFonts w:hint="eastAsia"/>
        </w:rPr>
        <w:t xml:space="preserve">新疆维吾尔自治区电力设施保护办法  2008年9月1日新疆维吾尔自治区人民政府令第157号发布  </w:t>
      </w:r>
    </w:p>
    <w:p>
      <w:pPr>
        <w:pStyle w:val="56"/>
        <w:numPr>
          <w:ilvl w:val="0"/>
          <w:numId w:val="44"/>
        </w:numPr>
        <w:ind w:left="0" w:firstLine="420"/>
      </w:pPr>
      <w:r>
        <w:rPr>
          <w:rFonts w:hint="eastAsia"/>
        </w:rPr>
        <w:t xml:space="preserve"> 乌鲁木齐市电力设施保护办法  </w:t>
      </w:r>
      <w:r>
        <w:rPr>
          <w:rFonts w:ascii="Arial" w:hAnsi="Arial" w:cs="Arial"/>
          <w:color w:val="333333"/>
          <w:sz w:val="20"/>
          <w:shd w:val="clear" w:color="auto" w:fill="FFFFFF"/>
        </w:rPr>
        <w:t>2006年12月30日</w:t>
      </w:r>
      <w:r>
        <w:rPr>
          <w:rFonts w:hint="eastAsia"/>
        </w:rPr>
        <w:t>乌鲁木齐市人民政府令第81号公布</w:t>
      </w:r>
    </w:p>
    <w:bookmarkEnd w:id="163"/>
    <w:p>
      <w:pPr>
        <w:pStyle w:val="165"/>
        <w:numPr>
          <w:ilvl w:val="0"/>
          <w:numId w:val="0"/>
        </w:numPr>
        <w:jc w:val="center"/>
      </w:pPr>
      <w:bookmarkStart w:id="168" w:name="BookMark8"/>
      <w:r>
        <w:rPr>
          <w:rFonts w:hint="eastAsia"/>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68"/>
    </w:p>
    <w:sectPr>
      <w:pgSz w:w="11906" w:h="16838"/>
      <w:pgMar w:top="1928"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504020202020204"/>
    <w:charset w:val="00"/>
    <w:family w:val="swiss"/>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DB6540/T XXXX—2023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DB6540/T XXXX—2023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D8D613B"/>
    <w:multiLevelType w:val="multilevel"/>
    <w:tmpl w:val="1D8D613B"/>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color w:val="auto"/>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hAns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hAns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color w:val="000000" w:themeColor="text1"/>
        <w:sz w:val="18"/>
        <w14:textFill>
          <w14:solidFill>
            <w14:schemeClr w14:val="tx1"/>
          </w14:solidFill>
        </w14:textFill>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10"/>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86"/>
    <w:rsid w:val="0000040A"/>
    <w:rsid w:val="00000A94"/>
    <w:rsid w:val="00001972"/>
    <w:rsid w:val="00001D9A"/>
    <w:rsid w:val="00007B3A"/>
    <w:rsid w:val="000107E0"/>
    <w:rsid w:val="00011FDE"/>
    <w:rsid w:val="00012FFD"/>
    <w:rsid w:val="00014162"/>
    <w:rsid w:val="00014340"/>
    <w:rsid w:val="00016A9C"/>
    <w:rsid w:val="0002119E"/>
    <w:rsid w:val="00022184"/>
    <w:rsid w:val="00022762"/>
    <w:rsid w:val="00023563"/>
    <w:rsid w:val="000238E0"/>
    <w:rsid w:val="000249DB"/>
    <w:rsid w:val="0002595E"/>
    <w:rsid w:val="000303C3"/>
    <w:rsid w:val="000304DA"/>
    <w:rsid w:val="00031BA5"/>
    <w:rsid w:val="0003205E"/>
    <w:rsid w:val="000331D3"/>
    <w:rsid w:val="000346A5"/>
    <w:rsid w:val="000359C3"/>
    <w:rsid w:val="00035A7D"/>
    <w:rsid w:val="000365ED"/>
    <w:rsid w:val="0004096C"/>
    <w:rsid w:val="0004249A"/>
    <w:rsid w:val="00043282"/>
    <w:rsid w:val="00043706"/>
    <w:rsid w:val="00044286"/>
    <w:rsid w:val="0004468B"/>
    <w:rsid w:val="00047F28"/>
    <w:rsid w:val="00047F59"/>
    <w:rsid w:val="000503AA"/>
    <w:rsid w:val="000506A1"/>
    <w:rsid w:val="000515DD"/>
    <w:rsid w:val="0005265A"/>
    <w:rsid w:val="000539DD"/>
    <w:rsid w:val="00053BD3"/>
    <w:rsid w:val="000556ED"/>
    <w:rsid w:val="0005585E"/>
    <w:rsid w:val="00055FE2"/>
    <w:rsid w:val="0005616F"/>
    <w:rsid w:val="00060C2E"/>
    <w:rsid w:val="00061033"/>
    <w:rsid w:val="000619E9"/>
    <w:rsid w:val="000622D4"/>
    <w:rsid w:val="0006357D"/>
    <w:rsid w:val="00063948"/>
    <w:rsid w:val="00067F1E"/>
    <w:rsid w:val="00071CC0"/>
    <w:rsid w:val="00073C8C"/>
    <w:rsid w:val="000746D1"/>
    <w:rsid w:val="00077B64"/>
    <w:rsid w:val="0008029C"/>
    <w:rsid w:val="00080A1C"/>
    <w:rsid w:val="00082317"/>
    <w:rsid w:val="00083D2C"/>
    <w:rsid w:val="00086AA1"/>
    <w:rsid w:val="00087A77"/>
    <w:rsid w:val="00087CFC"/>
    <w:rsid w:val="00090CA6"/>
    <w:rsid w:val="00092B8A"/>
    <w:rsid w:val="00092FB0"/>
    <w:rsid w:val="00093076"/>
    <w:rsid w:val="000934C5"/>
    <w:rsid w:val="00093D25"/>
    <w:rsid w:val="00093DAB"/>
    <w:rsid w:val="00094D73"/>
    <w:rsid w:val="00096D63"/>
    <w:rsid w:val="0009789B"/>
    <w:rsid w:val="000A0B60"/>
    <w:rsid w:val="000A0EB8"/>
    <w:rsid w:val="000A19FC"/>
    <w:rsid w:val="000A296B"/>
    <w:rsid w:val="000A7311"/>
    <w:rsid w:val="000B060F"/>
    <w:rsid w:val="000B1592"/>
    <w:rsid w:val="000B1FF2"/>
    <w:rsid w:val="000B3CDA"/>
    <w:rsid w:val="000B5AD6"/>
    <w:rsid w:val="000B6A0B"/>
    <w:rsid w:val="000B72B5"/>
    <w:rsid w:val="000C0F6C"/>
    <w:rsid w:val="000C11DB"/>
    <w:rsid w:val="000C1492"/>
    <w:rsid w:val="000C2FBD"/>
    <w:rsid w:val="000C4B41"/>
    <w:rsid w:val="000C4C0A"/>
    <w:rsid w:val="000C57D6"/>
    <w:rsid w:val="000C6362"/>
    <w:rsid w:val="000C6D0C"/>
    <w:rsid w:val="000C7666"/>
    <w:rsid w:val="000D0A9C"/>
    <w:rsid w:val="000D1795"/>
    <w:rsid w:val="000D2345"/>
    <w:rsid w:val="000D329A"/>
    <w:rsid w:val="000D4B9C"/>
    <w:rsid w:val="000D4EB6"/>
    <w:rsid w:val="000D7114"/>
    <w:rsid w:val="000D753B"/>
    <w:rsid w:val="000D778A"/>
    <w:rsid w:val="000E4C9E"/>
    <w:rsid w:val="000E6FD7"/>
    <w:rsid w:val="000F06E1"/>
    <w:rsid w:val="000F0E3C"/>
    <w:rsid w:val="000F19D5"/>
    <w:rsid w:val="000F4A26"/>
    <w:rsid w:val="000F4AEA"/>
    <w:rsid w:val="000F633F"/>
    <w:rsid w:val="000F67E9"/>
    <w:rsid w:val="00104926"/>
    <w:rsid w:val="00112D54"/>
    <w:rsid w:val="001136BE"/>
    <w:rsid w:val="00113B1E"/>
    <w:rsid w:val="0011711C"/>
    <w:rsid w:val="0012059C"/>
    <w:rsid w:val="00124E4F"/>
    <w:rsid w:val="001260B7"/>
    <w:rsid w:val="001265CB"/>
    <w:rsid w:val="00131141"/>
    <w:rsid w:val="0013191F"/>
    <w:rsid w:val="001321C6"/>
    <w:rsid w:val="001325C4"/>
    <w:rsid w:val="00133010"/>
    <w:rsid w:val="001338EE"/>
    <w:rsid w:val="00133AAE"/>
    <w:rsid w:val="00135323"/>
    <w:rsid w:val="001356C4"/>
    <w:rsid w:val="00136999"/>
    <w:rsid w:val="00141114"/>
    <w:rsid w:val="00142969"/>
    <w:rsid w:val="001446C2"/>
    <w:rsid w:val="001457E7"/>
    <w:rsid w:val="00145D9D"/>
    <w:rsid w:val="00146388"/>
    <w:rsid w:val="00150C5E"/>
    <w:rsid w:val="00151E4C"/>
    <w:rsid w:val="00152503"/>
    <w:rsid w:val="001529E5"/>
    <w:rsid w:val="00153C7E"/>
    <w:rsid w:val="00156B25"/>
    <w:rsid w:val="00156E1A"/>
    <w:rsid w:val="00157894"/>
    <w:rsid w:val="00157B55"/>
    <w:rsid w:val="00162050"/>
    <w:rsid w:val="001642FA"/>
    <w:rsid w:val="001649EB"/>
    <w:rsid w:val="00164BAF"/>
    <w:rsid w:val="00164FA8"/>
    <w:rsid w:val="00165065"/>
    <w:rsid w:val="00165434"/>
    <w:rsid w:val="0016580B"/>
    <w:rsid w:val="00165F49"/>
    <w:rsid w:val="00166B88"/>
    <w:rsid w:val="0016770A"/>
    <w:rsid w:val="00170804"/>
    <w:rsid w:val="001708E9"/>
    <w:rsid w:val="00172CEC"/>
    <w:rsid w:val="00173168"/>
    <w:rsid w:val="0017340B"/>
    <w:rsid w:val="001736F5"/>
    <w:rsid w:val="00173FB1"/>
    <w:rsid w:val="00176DFD"/>
    <w:rsid w:val="001852C9"/>
    <w:rsid w:val="001859AC"/>
    <w:rsid w:val="0018699F"/>
    <w:rsid w:val="00190087"/>
    <w:rsid w:val="0019047F"/>
    <w:rsid w:val="001913C4"/>
    <w:rsid w:val="0019348F"/>
    <w:rsid w:val="00193A07"/>
    <w:rsid w:val="00194C95"/>
    <w:rsid w:val="00195C34"/>
    <w:rsid w:val="00196EF5"/>
    <w:rsid w:val="001A1A53"/>
    <w:rsid w:val="001A234A"/>
    <w:rsid w:val="001A3612"/>
    <w:rsid w:val="001A49D5"/>
    <w:rsid w:val="001A4CF3"/>
    <w:rsid w:val="001B06E8"/>
    <w:rsid w:val="001B34EF"/>
    <w:rsid w:val="001B71D0"/>
    <w:rsid w:val="001B71EE"/>
    <w:rsid w:val="001B726F"/>
    <w:rsid w:val="001C04A8"/>
    <w:rsid w:val="001C2C03"/>
    <w:rsid w:val="001C3F7E"/>
    <w:rsid w:val="001C42F7"/>
    <w:rsid w:val="001C49E5"/>
    <w:rsid w:val="001C6356"/>
    <w:rsid w:val="001C680C"/>
    <w:rsid w:val="001C74C5"/>
    <w:rsid w:val="001C7FEA"/>
    <w:rsid w:val="001D0499"/>
    <w:rsid w:val="001D0BBE"/>
    <w:rsid w:val="001D0ED4"/>
    <w:rsid w:val="001D212F"/>
    <w:rsid w:val="001D29D7"/>
    <w:rsid w:val="001D2DE7"/>
    <w:rsid w:val="001D411C"/>
    <w:rsid w:val="001E1B6A"/>
    <w:rsid w:val="001E2484"/>
    <w:rsid w:val="001E3CC4"/>
    <w:rsid w:val="001E4882"/>
    <w:rsid w:val="001E6677"/>
    <w:rsid w:val="001E73AB"/>
    <w:rsid w:val="001F092D"/>
    <w:rsid w:val="001F143A"/>
    <w:rsid w:val="001F1605"/>
    <w:rsid w:val="001F2508"/>
    <w:rsid w:val="001F2804"/>
    <w:rsid w:val="001F4816"/>
    <w:rsid w:val="001F4EE9"/>
    <w:rsid w:val="001F69B4"/>
    <w:rsid w:val="001F77C7"/>
    <w:rsid w:val="00200183"/>
    <w:rsid w:val="00200333"/>
    <w:rsid w:val="0020107D"/>
    <w:rsid w:val="00202AA4"/>
    <w:rsid w:val="002031F7"/>
    <w:rsid w:val="002040E6"/>
    <w:rsid w:val="0020527B"/>
    <w:rsid w:val="00205F2C"/>
    <w:rsid w:val="0020746D"/>
    <w:rsid w:val="00210B15"/>
    <w:rsid w:val="00210EA0"/>
    <w:rsid w:val="002142EA"/>
    <w:rsid w:val="002204BB"/>
    <w:rsid w:val="0022126B"/>
    <w:rsid w:val="00221B79"/>
    <w:rsid w:val="00221C6B"/>
    <w:rsid w:val="00222E91"/>
    <w:rsid w:val="002253A1"/>
    <w:rsid w:val="00225A14"/>
    <w:rsid w:val="00225CF8"/>
    <w:rsid w:val="0022794E"/>
    <w:rsid w:val="00232DB6"/>
    <w:rsid w:val="00233D64"/>
    <w:rsid w:val="0023482A"/>
    <w:rsid w:val="00234B09"/>
    <w:rsid w:val="0023581B"/>
    <w:rsid w:val="002359CB"/>
    <w:rsid w:val="00237091"/>
    <w:rsid w:val="00241180"/>
    <w:rsid w:val="00243540"/>
    <w:rsid w:val="0024497B"/>
    <w:rsid w:val="0024515B"/>
    <w:rsid w:val="00246021"/>
    <w:rsid w:val="0024666E"/>
    <w:rsid w:val="00247F52"/>
    <w:rsid w:val="00250730"/>
    <w:rsid w:val="00250B25"/>
    <w:rsid w:val="00250BBE"/>
    <w:rsid w:val="002515C2"/>
    <w:rsid w:val="0025194F"/>
    <w:rsid w:val="0026148A"/>
    <w:rsid w:val="00262696"/>
    <w:rsid w:val="00263D25"/>
    <w:rsid w:val="00264314"/>
    <w:rsid w:val="002643C3"/>
    <w:rsid w:val="00264A0C"/>
    <w:rsid w:val="00266EEB"/>
    <w:rsid w:val="00267EF4"/>
    <w:rsid w:val="00270CB8"/>
    <w:rsid w:val="00272522"/>
    <w:rsid w:val="00272B08"/>
    <w:rsid w:val="002771AC"/>
    <w:rsid w:val="00280AB8"/>
    <w:rsid w:val="00281BB8"/>
    <w:rsid w:val="00281E9E"/>
    <w:rsid w:val="00282405"/>
    <w:rsid w:val="00285170"/>
    <w:rsid w:val="00285361"/>
    <w:rsid w:val="00290034"/>
    <w:rsid w:val="00292D60"/>
    <w:rsid w:val="00293B30"/>
    <w:rsid w:val="002944E3"/>
    <w:rsid w:val="00294D34"/>
    <w:rsid w:val="00294E3B"/>
    <w:rsid w:val="002957D1"/>
    <w:rsid w:val="00296193"/>
    <w:rsid w:val="00296C66"/>
    <w:rsid w:val="00296EBE"/>
    <w:rsid w:val="002974E3"/>
    <w:rsid w:val="002A084B"/>
    <w:rsid w:val="002A1260"/>
    <w:rsid w:val="002A1589"/>
    <w:rsid w:val="002A1608"/>
    <w:rsid w:val="002A1A9D"/>
    <w:rsid w:val="002A1C29"/>
    <w:rsid w:val="002A25DC"/>
    <w:rsid w:val="002A3AAB"/>
    <w:rsid w:val="002A4CEA"/>
    <w:rsid w:val="002A5977"/>
    <w:rsid w:val="002A5A13"/>
    <w:rsid w:val="002A757F"/>
    <w:rsid w:val="002A7F44"/>
    <w:rsid w:val="002B0C40"/>
    <w:rsid w:val="002B1585"/>
    <w:rsid w:val="002B1966"/>
    <w:rsid w:val="002B3BCF"/>
    <w:rsid w:val="002B4508"/>
    <w:rsid w:val="002B5779"/>
    <w:rsid w:val="002B7332"/>
    <w:rsid w:val="002B7F51"/>
    <w:rsid w:val="002C09E7"/>
    <w:rsid w:val="002C1E06"/>
    <w:rsid w:val="002C1E1C"/>
    <w:rsid w:val="002C3F07"/>
    <w:rsid w:val="002C5278"/>
    <w:rsid w:val="002C7EBB"/>
    <w:rsid w:val="002D06C1"/>
    <w:rsid w:val="002D42B5"/>
    <w:rsid w:val="002D4F1A"/>
    <w:rsid w:val="002D6D20"/>
    <w:rsid w:val="002D6EC6"/>
    <w:rsid w:val="002D79AC"/>
    <w:rsid w:val="002E039D"/>
    <w:rsid w:val="002E3A3D"/>
    <w:rsid w:val="002E4D5A"/>
    <w:rsid w:val="002E6326"/>
    <w:rsid w:val="002F103B"/>
    <w:rsid w:val="002F30E0"/>
    <w:rsid w:val="002F35E4"/>
    <w:rsid w:val="002F3730"/>
    <w:rsid w:val="002F38E1"/>
    <w:rsid w:val="002F4487"/>
    <w:rsid w:val="002F7AF6"/>
    <w:rsid w:val="00300E63"/>
    <w:rsid w:val="00302F5F"/>
    <w:rsid w:val="0030441D"/>
    <w:rsid w:val="00305F91"/>
    <w:rsid w:val="00306063"/>
    <w:rsid w:val="00313B85"/>
    <w:rsid w:val="00317988"/>
    <w:rsid w:val="003221B4"/>
    <w:rsid w:val="0032258D"/>
    <w:rsid w:val="00322E05"/>
    <w:rsid w:val="00322E62"/>
    <w:rsid w:val="00324D13"/>
    <w:rsid w:val="00324D2A"/>
    <w:rsid w:val="00324EDD"/>
    <w:rsid w:val="0033121D"/>
    <w:rsid w:val="003331E4"/>
    <w:rsid w:val="00335003"/>
    <w:rsid w:val="00336C64"/>
    <w:rsid w:val="00337162"/>
    <w:rsid w:val="003417B3"/>
    <w:rsid w:val="0034194F"/>
    <w:rsid w:val="00344605"/>
    <w:rsid w:val="003474AA"/>
    <w:rsid w:val="00350340"/>
    <w:rsid w:val="00350D1D"/>
    <w:rsid w:val="00352C83"/>
    <w:rsid w:val="003544E8"/>
    <w:rsid w:val="003615D2"/>
    <w:rsid w:val="00362BEF"/>
    <w:rsid w:val="00363279"/>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6F9C"/>
    <w:rsid w:val="003973FC"/>
    <w:rsid w:val="003974EB"/>
    <w:rsid w:val="00397CC5"/>
    <w:rsid w:val="003A1582"/>
    <w:rsid w:val="003A4077"/>
    <w:rsid w:val="003A43A7"/>
    <w:rsid w:val="003B09AD"/>
    <w:rsid w:val="003B1F18"/>
    <w:rsid w:val="003B23FF"/>
    <w:rsid w:val="003B5BF0"/>
    <w:rsid w:val="003B60BF"/>
    <w:rsid w:val="003B6BE3"/>
    <w:rsid w:val="003B7856"/>
    <w:rsid w:val="003C010C"/>
    <w:rsid w:val="003C08DE"/>
    <w:rsid w:val="003C0A6C"/>
    <w:rsid w:val="003C14F8"/>
    <w:rsid w:val="003C3ECC"/>
    <w:rsid w:val="003C557B"/>
    <w:rsid w:val="003C5A43"/>
    <w:rsid w:val="003D0519"/>
    <w:rsid w:val="003D0B81"/>
    <w:rsid w:val="003D0FF6"/>
    <w:rsid w:val="003D262C"/>
    <w:rsid w:val="003D6D61"/>
    <w:rsid w:val="003D79C6"/>
    <w:rsid w:val="003E091D"/>
    <w:rsid w:val="003E1C53"/>
    <w:rsid w:val="003E2A69"/>
    <w:rsid w:val="003E2D49"/>
    <w:rsid w:val="003E2FD4"/>
    <w:rsid w:val="003E49F6"/>
    <w:rsid w:val="003E660F"/>
    <w:rsid w:val="003F0841"/>
    <w:rsid w:val="003F222D"/>
    <w:rsid w:val="003F23D3"/>
    <w:rsid w:val="003F3F08"/>
    <w:rsid w:val="003F49F1"/>
    <w:rsid w:val="003F6272"/>
    <w:rsid w:val="00400C50"/>
    <w:rsid w:val="00400E72"/>
    <w:rsid w:val="00401400"/>
    <w:rsid w:val="00401EE8"/>
    <w:rsid w:val="00404869"/>
    <w:rsid w:val="00405884"/>
    <w:rsid w:val="00406FD1"/>
    <w:rsid w:val="00407D39"/>
    <w:rsid w:val="00412C03"/>
    <w:rsid w:val="00413596"/>
    <w:rsid w:val="0041477A"/>
    <w:rsid w:val="004167A3"/>
    <w:rsid w:val="00424292"/>
    <w:rsid w:val="00432DAA"/>
    <w:rsid w:val="00434305"/>
    <w:rsid w:val="00435DD3"/>
    <w:rsid w:val="00435DF7"/>
    <w:rsid w:val="0044083F"/>
    <w:rsid w:val="00441AE7"/>
    <w:rsid w:val="00445574"/>
    <w:rsid w:val="004467FB"/>
    <w:rsid w:val="00452D6B"/>
    <w:rsid w:val="0045340D"/>
    <w:rsid w:val="00454484"/>
    <w:rsid w:val="0045517B"/>
    <w:rsid w:val="00462984"/>
    <w:rsid w:val="00463B77"/>
    <w:rsid w:val="00463C7B"/>
    <w:rsid w:val="004644A6"/>
    <w:rsid w:val="004659BD"/>
    <w:rsid w:val="00470775"/>
    <w:rsid w:val="00470F86"/>
    <w:rsid w:val="00472AC3"/>
    <w:rsid w:val="004746B1"/>
    <w:rsid w:val="0047583F"/>
    <w:rsid w:val="00475DE8"/>
    <w:rsid w:val="00481AB6"/>
    <w:rsid w:val="00481C44"/>
    <w:rsid w:val="00484936"/>
    <w:rsid w:val="00485C89"/>
    <w:rsid w:val="00486BE3"/>
    <w:rsid w:val="004905E4"/>
    <w:rsid w:val="00490A89"/>
    <w:rsid w:val="00490AB4"/>
    <w:rsid w:val="00492F02"/>
    <w:rsid w:val="004939AE"/>
    <w:rsid w:val="00493EEC"/>
    <w:rsid w:val="004A12DF"/>
    <w:rsid w:val="004A17E6"/>
    <w:rsid w:val="004A19E3"/>
    <w:rsid w:val="004A1BA8"/>
    <w:rsid w:val="004A21B9"/>
    <w:rsid w:val="004A440B"/>
    <w:rsid w:val="004A4B57"/>
    <w:rsid w:val="004A63FA"/>
    <w:rsid w:val="004A7E06"/>
    <w:rsid w:val="004B0272"/>
    <w:rsid w:val="004B2701"/>
    <w:rsid w:val="004B2E1B"/>
    <w:rsid w:val="004B313C"/>
    <w:rsid w:val="004B3AA8"/>
    <w:rsid w:val="004B3E93"/>
    <w:rsid w:val="004B76FE"/>
    <w:rsid w:val="004C1FBC"/>
    <w:rsid w:val="004C3F1D"/>
    <w:rsid w:val="004C458D"/>
    <w:rsid w:val="004C7556"/>
    <w:rsid w:val="004C7E8B"/>
    <w:rsid w:val="004C7E9D"/>
    <w:rsid w:val="004C7F67"/>
    <w:rsid w:val="004D076D"/>
    <w:rsid w:val="004D0EF1"/>
    <w:rsid w:val="004D1B03"/>
    <w:rsid w:val="004D2253"/>
    <w:rsid w:val="004D359D"/>
    <w:rsid w:val="004D3897"/>
    <w:rsid w:val="004D4406"/>
    <w:rsid w:val="004D7C42"/>
    <w:rsid w:val="004E0465"/>
    <w:rsid w:val="004E127B"/>
    <w:rsid w:val="004E1C0A"/>
    <w:rsid w:val="004E28F2"/>
    <w:rsid w:val="004E2B06"/>
    <w:rsid w:val="004E30C5"/>
    <w:rsid w:val="004E3B91"/>
    <w:rsid w:val="004E4AA5"/>
    <w:rsid w:val="004E4AEE"/>
    <w:rsid w:val="004E59E3"/>
    <w:rsid w:val="004E67C0"/>
    <w:rsid w:val="004F391A"/>
    <w:rsid w:val="004F3CFB"/>
    <w:rsid w:val="004F6456"/>
    <w:rsid w:val="004F696E"/>
    <w:rsid w:val="004F6C71"/>
    <w:rsid w:val="004F7A19"/>
    <w:rsid w:val="00501139"/>
    <w:rsid w:val="0050363E"/>
    <w:rsid w:val="005039BC"/>
    <w:rsid w:val="005043BB"/>
    <w:rsid w:val="00504A3D"/>
    <w:rsid w:val="00504F40"/>
    <w:rsid w:val="00505767"/>
    <w:rsid w:val="005057A1"/>
    <w:rsid w:val="005069A1"/>
    <w:rsid w:val="005073F0"/>
    <w:rsid w:val="00507A03"/>
    <w:rsid w:val="00510A7B"/>
    <w:rsid w:val="00511C8D"/>
    <w:rsid w:val="00512F6E"/>
    <w:rsid w:val="00513038"/>
    <w:rsid w:val="00514174"/>
    <w:rsid w:val="00516088"/>
    <w:rsid w:val="00516B0B"/>
    <w:rsid w:val="00517B71"/>
    <w:rsid w:val="00521F05"/>
    <w:rsid w:val="005220EC"/>
    <w:rsid w:val="00523F95"/>
    <w:rsid w:val="00524D65"/>
    <w:rsid w:val="00525640"/>
    <w:rsid w:val="00525B16"/>
    <w:rsid w:val="00533D04"/>
    <w:rsid w:val="00534804"/>
    <w:rsid w:val="005349FC"/>
    <w:rsid w:val="00534A64"/>
    <w:rsid w:val="00534BDF"/>
    <w:rsid w:val="005354EA"/>
    <w:rsid w:val="0053585F"/>
    <w:rsid w:val="00535EC4"/>
    <w:rsid w:val="00535ED9"/>
    <w:rsid w:val="0053692B"/>
    <w:rsid w:val="00541853"/>
    <w:rsid w:val="00543BDA"/>
    <w:rsid w:val="005441CC"/>
    <w:rsid w:val="0054758E"/>
    <w:rsid w:val="005479DA"/>
    <w:rsid w:val="00547BCC"/>
    <w:rsid w:val="0055013B"/>
    <w:rsid w:val="00551F6F"/>
    <w:rsid w:val="0055217B"/>
    <w:rsid w:val="00555044"/>
    <w:rsid w:val="00555CD9"/>
    <w:rsid w:val="00556B68"/>
    <w:rsid w:val="0055796E"/>
    <w:rsid w:val="00561475"/>
    <w:rsid w:val="0056487B"/>
    <w:rsid w:val="00564FB9"/>
    <w:rsid w:val="005739F3"/>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2A3C"/>
    <w:rsid w:val="005A2EBB"/>
    <w:rsid w:val="005A4A1B"/>
    <w:rsid w:val="005A7830"/>
    <w:rsid w:val="005A7FCE"/>
    <w:rsid w:val="005B0F3F"/>
    <w:rsid w:val="005B1EA7"/>
    <w:rsid w:val="005B3BD6"/>
    <w:rsid w:val="005B4903"/>
    <w:rsid w:val="005B4DF4"/>
    <w:rsid w:val="005B51CE"/>
    <w:rsid w:val="005B5885"/>
    <w:rsid w:val="005B5CD7"/>
    <w:rsid w:val="005B6240"/>
    <w:rsid w:val="005B6CF6"/>
    <w:rsid w:val="005B7422"/>
    <w:rsid w:val="005C0E1F"/>
    <w:rsid w:val="005C29B8"/>
    <w:rsid w:val="005C5F21"/>
    <w:rsid w:val="005C7156"/>
    <w:rsid w:val="005D0C75"/>
    <w:rsid w:val="005D4171"/>
    <w:rsid w:val="005D5926"/>
    <w:rsid w:val="005D6A95"/>
    <w:rsid w:val="005D6B2C"/>
    <w:rsid w:val="005D6D9C"/>
    <w:rsid w:val="005E1F58"/>
    <w:rsid w:val="005E2335"/>
    <w:rsid w:val="005E34CA"/>
    <w:rsid w:val="005E3C18"/>
    <w:rsid w:val="005E4F5E"/>
    <w:rsid w:val="005E6812"/>
    <w:rsid w:val="005E7881"/>
    <w:rsid w:val="005E78E0"/>
    <w:rsid w:val="005F0D9C"/>
    <w:rsid w:val="005F284E"/>
    <w:rsid w:val="005F4712"/>
    <w:rsid w:val="006015CE"/>
    <w:rsid w:val="006035A4"/>
    <w:rsid w:val="00604784"/>
    <w:rsid w:val="00604CB0"/>
    <w:rsid w:val="00606419"/>
    <w:rsid w:val="00607D29"/>
    <w:rsid w:val="00610EC0"/>
    <w:rsid w:val="0061126C"/>
    <w:rsid w:val="00612952"/>
    <w:rsid w:val="006133A7"/>
    <w:rsid w:val="00614CC1"/>
    <w:rsid w:val="00615A9D"/>
    <w:rsid w:val="00615F75"/>
    <w:rsid w:val="00617387"/>
    <w:rsid w:val="006205D6"/>
    <w:rsid w:val="00622F27"/>
    <w:rsid w:val="006252D8"/>
    <w:rsid w:val="006259BC"/>
    <w:rsid w:val="0062636B"/>
    <w:rsid w:val="006316A4"/>
    <w:rsid w:val="00632182"/>
    <w:rsid w:val="00632AE0"/>
    <w:rsid w:val="00633C17"/>
    <w:rsid w:val="00634D9E"/>
    <w:rsid w:val="00636E3E"/>
    <w:rsid w:val="006379F7"/>
    <w:rsid w:val="00637E4D"/>
    <w:rsid w:val="00640620"/>
    <w:rsid w:val="00640DD9"/>
    <w:rsid w:val="00641A1F"/>
    <w:rsid w:val="00641FA1"/>
    <w:rsid w:val="00643C76"/>
    <w:rsid w:val="00645904"/>
    <w:rsid w:val="00651ACB"/>
    <w:rsid w:val="00651C47"/>
    <w:rsid w:val="00652AB2"/>
    <w:rsid w:val="00653A59"/>
    <w:rsid w:val="00653FED"/>
    <w:rsid w:val="00654EC0"/>
    <w:rsid w:val="0065525B"/>
    <w:rsid w:val="00655D4F"/>
    <w:rsid w:val="00656D29"/>
    <w:rsid w:val="00661FD8"/>
    <w:rsid w:val="006640E5"/>
    <w:rsid w:val="006645EB"/>
    <w:rsid w:val="006646F1"/>
    <w:rsid w:val="00664929"/>
    <w:rsid w:val="00664F62"/>
    <w:rsid w:val="006655E1"/>
    <w:rsid w:val="00672060"/>
    <w:rsid w:val="00672BFD"/>
    <w:rsid w:val="00676C04"/>
    <w:rsid w:val="006770F4"/>
    <w:rsid w:val="00677A84"/>
    <w:rsid w:val="00677AE7"/>
    <w:rsid w:val="0068026D"/>
    <w:rsid w:val="00680A27"/>
    <w:rsid w:val="006816A4"/>
    <w:rsid w:val="006819B8"/>
    <w:rsid w:val="006840A6"/>
    <w:rsid w:val="006850CD"/>
    <w:rsid w:val="00685AAB"/>
    <w:rsid w:val="00692DF7"/>
    <w:rsid w:val="00695D22"/>
    <w:rsid w:val="006A07AA"/>
    <w:rsid w:val="006A1FA4"/>
    <w:rsid w:val="006A25E5"/>
    <w:rsid w:val="006A2B46"/>
    <w:rsid w:val="006A336D"/>
    <w:rsid w:val="006A37B9"/>
    <w:rsid w:val="006A5D81"/>
    <w:rsid w:val="006B2672"/>
    <w:rsid w:val="006B28B7"/>
    <w:rsid w:val="006B54BF"/>
    <w:rsid w:val="006B5F44"/>
    <w:rsid w:val="006B5F90"/>
    <w:rsid w:val="006B62E4"/>
    <w:rsid w:val="006C1BBA"/>
    <w:rsid w:val="006C2079"/>
    <w:rsid w:val="006C532D"/>
    <w:rsid w:val="006C5A62"/>
    <w:rsid w:val="006C5D68"/>
    <w:rsid w:val="006C6976"/>
    <w:rsid w:val="006C6DD0"/>
    <w:rsid w:val="006D04EA"/>
    <w:rsid w:val="006D0AB7"/>
    <w:rsid w:val="006D16C4"/>
    <w:rsid w:val="006D3E96"/>
    <w:rsid w:val="006D4515"/>
    <w:rsid w:val="006D4BB1"/>
    <w:rsid w:val="006D4E21"/>
    <w:rsid w:val="006D6593"/>
    <w:rsid w:val="006E23EA"/>
    <w:rsid w:val="006E4D49"/>
    <w:rsid w:val="006F03A8"/>
    <w:rsid w:val="006F25CF"/>
    <w:rsid w:val="006F2ACA"/>
    <w:rsid w:val="006F2ADC"/>
    <w:rsid w:val="006F2BFE"/>
    <w:rsid w:val="006F31E9"/>
    <w:rsid w:val="006F4F03"/>
    <w:rsid w:val="006F5496"/>
    <w:rsid w:val="006F55A0"/>
    <w:rsid w:val="006F6284"/>
    <w:rsid w:val="007002C5"/>
    <w:rsid w:val="00704387"/>
    <w:rsid w:val="007045BD"/>
    <w:rsid w:val="00707669"/>
    <w:rsid w:val="00711CBA"/>
    <w:rsid w:val="00711FB5"/>
    <w:rsid w:val="00712A01"/>
    <w:rsid w:val="00714F58"/>
    <w:rsid w:val="00716AA4"/>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05B"/>
    <w:rsid w:val="00746800"/>
    <w:rsid w:val="007501A8"/>
    <w:rsid w:val="00750D61"/>
    <w:rsid w:val="00750EE1"/>
    <w:rsid w:val="00752B4D"/>
    <w:rsid w:val="0075429E"/>
    <w:rsid w:val="00754526"/>
    <w:rsid w:val="00755402"/>
    <w:rsid w:val="00756B26"/>
    <w:rsid w:val="00756EDF"/>
    <w:rsid w:val="007600E3"/>
    <w:rsid w:val="007646B5"/>
    <w:rsid w:val="00765C43"/>
    <w:rsid w:val="00765EFB"/>
    <w:rsid w:val="007671CA"/>
    <w:rsid w:val="00767C61"/>
    <w:rsid w:val="0077008A"/>
    <w:rsid w:val="00771820"/>
    <w:rsid w:val="00773C1F"/>
    <w:rsid w:val="00774DA4"/>
    <w:rsid w:val="00774E7C"/>
    <w:rsid w:val="00776599"/>
    <w:rsid w:val="00777180"/>
    <w:rsid w:val="007807A1"/>
    <w:rsid w:val="0078114B"/>
    <w:rsid w:val="00781DD2"/>
    <w:rsid w:val="00783ECF"/>
    <w:rsid w:val="0078413A"/>
    <w:rsid w:val="00795986"/>
    <w:rsid w:val="007959E8"/>
    <w:rsid w:val="00795E9C"/>
    <w:rsid w:val="00797418"/>
    <w:rsid w:val="007A0521"/>
    <w:rsid w:val="007A2E12"/>
    <w:rsid w:val="007A3475"/>
    <w:rsid w:val="007A41C8"/>
    <w:rsid w:val="007A54CE"/>
    <w:rsid w:val="007A6FD9"/>
    <w:rsid w:val="007A7FFA"/>
    <w:rsid w:val="007B04EB"/>
    <w:rsid w:val="007B0D4F"/>
    <w:rsid w:val="007B247A"/>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6947"/>
    <w:rsid w:val="007F0ED8"/>
    <w:rsid w:val="007F0F63"/>
    <w:rsid w:val="007F23E3"/>
    <w:rsid w:val="007F58BF"/>
    <w:rsid w:val="007F638D"/>
    <w:rsid w:val="007F75CE"/>
    <w:rsid w:val="008013A4"/>
    <w:rsid w:val="008027CE"/>
    <w:rsid w:val="00802F42"/>
    <w:rsid w:val="00804383"/>
    <w:rsid w:val="00804BB7"/>
    <w:rsid w:val="00804D41"/>
    <w:rsid w:val="00810257"/>
    <w:rsid w:val="008104F5"/>
    <w:rsid w:val="00811072"/>
    <w:rsid w:val="00811369"/>
    <w:rsid w:val="008149BA"/>
    <w:rsid w:val="00815419"/>
    <w:rsid w:val="008163C8"/>
    <w:rsid w:val="008164A1"/>
    <w:rsid w:val="00817325"/>
    <w:rsid w:val="00820464"/>
    <w:rsid w:val="008209E6"/>
    <w:rsid w:val="008223A0"/>
    <w:rsid w:val="00823303"/>
    <w:rsid w:val="008233B2"/>
    <w:rsid w:val="00823A9F"/>
    <w:rsid w:val="00823C85"/>
    <w:rsid w:val="0082479F"/>
    <w:rsid w:val="00825138"/>
    <w:rsid w:val="008269DD"/>
    <w:rsid w:val="00826CF6"/>
    <w:rsid w:val="00830621"/>
    <w:rsid w:val="0083348C"/>
    <w:rsid w:val="00834F03"/>
    <w:rsid w:val="008373D3"/>
    <w:rsid w:val="00840617"/>
    <w:rsid w:val="00840F84"/>
    <w:rsid w:val="00842A47"/>
    <w:rsid w:val="00843C13"/>
    <w:rsid w:val="00844F12"/>
    <w:rsid w:val="008454F8"/>
    <w:rsid w:val="00845B46"/>
    <w:rsid w:val="008469D5"/>
    <w:rsid w:val="008475BC"/>
    <w:rsid w:val="008510E5"/>
    <w:rsid w:val="0085173A"/>
    <w:rsid w:val="00853170"/>
    <w:rsid w:val="00856316"/>
    <w:rsid w:val="008603CE"/>
    <w:rsid w:val="00861F31"/>
    <w:rsid w:val="008620FC"/>
    <w:rsid w:val="008627A5"/>
    <w:rsid w:val="00863E05"/>
    <w:rsid w:val="00865ACA"/>
    <w:rsid w:val="00865D28"/>
    <w:rsid w:val="00865F85"/>
    <w:rsid w:val="00866277"/>
    <w:rsid w:val="00867C10"/>
    <w:rsid w:val="00867C33"/>
    <w:rsid w:val="00870439"/>
    <w:rsid w:val="00870DA1"/>
    <w:rsid w:val="0087158E"/>
    <w:rsid w:val="00873F33"/>
    <w:rsid w:val="0087537C"/>
    <w:rsid w:val="0088189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4B2B"/>
    <w:rsid w:val="008C619A"/>
    <w:rsid w:val="008D0CE8"/>
    <w:rsid w:val="008D2D1D"/>
    <w:rsid w:val="008D453D"/>
    <w:rsid w:val="008D53AD"/>
    <w:rsid w:val="008D562B"/>
    <w:rsid w:val="008D5733"/>
    <w:rsid w:val="008D60A1"/>
    <w:rsid w:val="008D622B"/>
    <w:rsid w:val="008D666C"/>
    <w:rsid w:val="008D7B54"/>
    <w:rsid w:val="008E0C9D"/>
    <w:rsid w:val="008E1648"/>
    <w:rsid w:val="008E1859"/>
    <w:rsid w:val="008E1B3E"/>
    <w:rsid w:val="008E2319"/>
    <w:rsid w:val="008E4BB6"/>
    <w:rsid w:val="008E5518"/>
    <w:rsid w:val="008E6A84"/>
    <w:rsid w:val="008F0976"/>
    <w:rsid w:val="008F0CDC"/>
    <w:rsid w:val="008F0F0B"/>
    <w:rsid w:val="008F17A3"/>
    <w:rsid w:val="008F1ED3"/>
    <w:rsid w:val="008F23A5"/>
    <w:rsid w:val="008F243B"/>
    <w:rsid w:val="008F4C29"/>
    <w:rsid w:val="008F70BD"/>
    <w:rsid w:val="008F788F"/>
    <w:rsid w:val="008F7EA2"/>
    <w:rsid w:val="009012EF"/>
    <w:rsid w:val="00902722"/>
    <w:rsid w:val="009027BC"/>
    <w:rsid w:val="00903380"/>
    <w:rsid w:val="009062E6"/>
    <w:rsid w:val="00911BE5"/>
    <w:rsid w:val="00913CA9"/>
    <w:rsid w:val="009145AE"/>
    <w:rsid w:val="009146CE"/>
    <w:rsid w:val="00914CA7"/>
    <w:rsid w:val="00915ABE"/>
    <w:rsid w:val="00915C3E"/>
    <w:rsid w:val="009161A8"/>
    <w:rsid w:val="00916418"/>
    <w:rsid w:val="00921064"/>
    <w:rsid w:val="009214A9"/>
    <w:rsid w:val="0092397C"/>
    <w:rsid w:val="009245F5"/>
    <w:rsid w:val="009249EC"/>
    <w:rsid w:val="009273B3"/>
    <w:rsid w:val="009305B5"/>
    <w:rsid w:val="00933535"/>
    <w:rsid w:val="009344D4"/>
    <w:rsid w:val="009365D3"/>
    <w:rsid w:val="009429D5"/>
    <w:rsid w:val="00942BF1"/>
    <w:rsid w:val="009441AB"/>
    <w:rsid w:val="00945180"/>
    <w:rsid w:val="00945428"/>
    <w:rsid w:val="0094607B"/>
    <w:rsid w:val="00953604"/>
    <w:rsid w:val="0095496B"/>
    <w:rsid w:val="00957A83"/>
    <w:rsid w:val="009610DC"/>
    <w:rsid w:val="009612D6"/>
    <w:rsid w:val="00961490"/>
    <w:rsid w:val="0096381A"/>
    <w:rsid w:val="00965E04"/>
    <w:rsid w:val="009674AD"/>
    <w:rsid w:val="00970AEE"/>
    <w:rsid w:val="00970CDC"/>
    <w:rsid w:val="0097205D"/>
    <w:rsid w:val="009735F8"/>
    <w:rsid w:val="00977010"/>
    <w:rsid w:val="00977D02"/>
    <w:rsid w:val="009809BB"/>
    <w:rsid w:val="0098364B"/>
    <w:rsid w:val="00984963"/>
    <w:rsid w:val="009860BF"/>
    <w:rsid w:val="00986913"/>
    <w:rsid w:val="009911AF"/>
    <w:rsid w:val="00991875"/>
    <w:rsid w:val="00991F92"/>
    <w:rsid w:val="00992985"/>
    <w:rsid w:val="009932D6"/>
    <w:rsid w:val="00993889"/>
    <w:rsid w:val="0099551B"/>
    <w:rsid w:val="00997BF1"/>
    <w:rsid w:val="009A089C"/>
    <w:rsid w:val="009A118E"/>
    <w:rsid w:val="009A21CD"/>
    <w:rsid w:val="009A250C"/>
    <w:rsid w:val="009A278C"/>
    <w:rsid w:val="009A2BC2"/>
    <w:rsid w:val="009A3936"/>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3AB6"/>
    <w:rsid w:val="009D47FA"/>
    <w:rsid w:val="009D4C5B"/>
    <w:rsid w:val="009D50D2"/>
    <w:rsid w:val="009D5D34"/>
    <w:rsid w:val="009D6BCA"/>
    <w:rsid w:val="009D7415"/>
    <w:rsid w:val="009D75BA"/>
    <w:rsid w:val="009E0F62"/>
    <w:rsid w:val="009E4A58"/>
    <w:rsid w:val="009E5A2D"/>
    <w:rsid w:val="009E5AB2"/>
    <w:rsid w:val="009E6219"/>
    <w:rsid w:val="009F03B3"/>
    <w:rsid w:val="009F4AC5"/>
    <w:rsid w:val="00A0096C"/>
    <w:rsid w:val="00A01757"/>
    <w:rsid w:val="00A028C0"/>
    <w:rsid w:val="00A02BAE"/>
    <w:rsid w:val="00A06A6B"/>
    <w:rsid w:val="00A07E47"/>
    <w:rsid w:val="00A129D0"/>
    <w:rsid w:val="00A12C33"/>
    <w:rsid w:val="00A138BA"/>
    <w:rsid w:val="00A13E18"/>
    <w:rsid w:val="00A14C8E"/>
    <w:rsid w:val="00A153D9"/>
    <w:rsid w:val="00A15F09"/>
    <w:rsid w:val="00A1692A"/>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30BA"/>
    <w:rsid w:val="00A4452E"/>
    <w:rsid w:val="00A4472C"/>
    <w:rsid w:val="00A44E69"/>
    <w:rsid w:val="00A4661E"/>
    <w:rsid w:val="00A5006C"/>
    <w:rsid w:val="00A50C63"/>
    <w:rsid w:val="00A55BD6"/>
    <w:rsid w:val="00A55D50"/>
    <w:rsid w:val="00A57142"/>
    <w:rsid w:val="00A57CAB"/>
    <w:rsid w:val="00A648CD"/>
    <w:rsid w:val="00A6537A"/>
    <w:rsid w:val="00A67866"/>
    <w:rsid w:val="00A70B07"/>
    <w:rsid w:val="00A723F8"/>
    <w:rsid w:val="00A77CCB"/>
    <w:rsid w:val="00A83D8D"/>
    <w:rsid w:val="00A8446B"/>
    <w:rsid w:val="00A8473F"/>
    <w:rsid w:val="00A862D6"/>
    <w:rsid w:val="00A8715E"/>
    <w:rsid w:val="00A9222B"/>
    <w:rsid w:val="00A9295B"/>
    <w:rsid w:val="00A92DD1"/>
    <w:rsid w:val="00A93B09"/>
    <w:rsid w:val="00A94247"/>
    <w:rsid w:val="00A952D7"/>
    <w:rsid w:val="00A963F7"/>
    <w:rsid w:val="00A96AD8"/>
    <w:rsid w:val="00AA052C"/>
    <w:rsid w:val="00AA1E45"/>
    <w:rsid w:val="00AA4286"/>
    <w:rsid w:val="00AA456B"/>
    <w:rsid w:val="00AA57F5"/>
    <w:rsid w:val="00AA672E"/>
    <w:rsid w:val="00AA6EC9"/>
    <w:rsid w:val="00AA75A0"/>
    <w:rsid w:val="00AB05DC"/>
    <w:rsid w:val="00AB41CE"/>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E7654"/>
    <w:rsid w:val="00AF0C18"/>
    <w:rsid w:val="00AF3F93"/>
    <w:rsid w:val="00AF47C5"/>
    <w:rsid w:val="00AF5398"/>
    <w:rsid w:val="00B002CA"/>
    <w:rsid w:val="00B016D3"/>
    <w:rsid w:val="00B02F6D"/>
    <w:rsid w:val="00B049AF"/>
    <w:rsid w:val="00B07242"/>
    <w:rsid w:val="00B10534"/>
    <w:rsid w:val="00B113DB"/>
    <w:rsid w:val="00B11D8A"/>
    <w:rsid w:val="00B12981"/>
    <w:rsid w:val="00B1373A"/>
    <w:rsid w:val="00B147DD"/>
    <w:rsid w:val="00B156FD"/>
    <w:rsid w:val="00B215C8"/>
    <w:rsid w:val="00B21F61"/>
    <w:rsid w:val="00B22CA7"/>
    <w:rsid w:val="00B244B3"/>
    <w:rsid w:val="00B261F1"/>
    <w:rsid w:val="00B265BC"/>
    <w:rsid w:val="00B31FB1"/>
    <w:rsid w:val="00B33952"/>
    <w:rsid w:val="00B33C5E"/>
    <w:rsid w:val="00B342F4"/>
    <w:rsid w:val="00B34369"/>
    <w:rsid w:val="00B34DC2"/>
    <w:rsid w:val="00B36534"/>
    <w:rsid w:val="00B36CE7"/>
    <w:rsid w:val="00B378E5"/>
    <w:rsid w:val="00B4346D"/>
    <w:rsid w:val="00B440F4"/>
    <w:rsid w:val="00B447A5"/>
    <w:rsid w:val="00B44F3F"/>
    <w:rsid w:val="00B4654C"/>
    <w:rsid w:val="00B46AF0"/>
    <w:rsid w:val="00B47293"/>
    <w:rsid w:val="00B50E50"/>
    <w:rsid w:val="00B52120"/>
    <w:rsid w:val="00B52978"/>
    <w:rsid w:val="00B54ABC"/>
    <w:rsid w:val="00B54DDE"/>
    <w:rsid w:val="00B554F8"/>
    <w:rsid w:val="00B56FBE"/>
    <w:rsid w:val="00B6069A"/>
    <w:rsid w:val="00B60ACF"/>
    <w:rsid w:val="00B62B58"/>
    <w:rsid w:val="00B65149"/>
    <w:rsid w:val="00B651BD"/>
    <w:rsid w:val="00B66321"/>
    <w:rsid w:val="00B66567"/>
    <w:rsid w:val="00B66F52"/>
    <w:rsid w:val="00B66FE5"/>
    <w:rsid w:val="00B72880"/>
    <w:rsid w:val="00B758BF"/>
    <w:rsid w:val="00B77B39"/>
    <w:rsid w:val="00B77EC8"/>
    <w:rsid w:val="00B824B0"/>
    <w:rsid w:val="00B827A6"/>
    <w:rsid w:val="00B82D1B"/>
    <w:rsid w:val="00B831CE"/>
    <w:rsid w:val="00B86677"/>
    <w:rsid w:val="00B87131"/>
    <w:rsid w:val="00B939B1"/>
    <w:rsid w:val="00B96D40"/>
    <w:rsid w:val="00B97386"/>
    <w:rsid w:val="00BA1BBF"/>
    <w:rsid w:val="00BA263B"/>
    <w:rsid w:val="00BA2AF3"/>
    <w:rsid w:val="00BA42B2"/>
    <w:rsid w:val="00BA58D4"/>
    <w:rsid w:val="00BA5B9E"/>
    <w:rsid w:val="00BA7C9A"/>
    <w:rsid w:val="00BB1A9A"/>
    <w:rsid w:val="00BB203B"/>
    <w:rsid w:val="00BB284F"/>
    <w:rsid w:val="00BB5F8F"/>
    <w:rsid w:val="00BB657A"/>
    <w:rsid w:val="00BB6F75"/>
    <w:rsid w:val="00BC0AF6"/>
    <w:rsid w:val="00BC1A4E"/>
    <w:rsid w:val="00BC4686"/>
    <w:rsid w:val="00BC4790"/>
    <w:rsid w:val="00BC5DC7"/>
    <w:rsid w:val="00BC6B8B"/>
    <w:rsid w:val="00BC73D8"/>
    <w:rsid w:val="00BD04AA"/>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6E28"/>
    <w:rsid w:val="00C16E99"/>
    <w:rsid w:val="00C21540"/>
    <w:rsid w:val="00C21906"/>
    <w:rsid w:val="00C21BFA"/>
    <w:rsid w:val="00C22148"/>
    <w:rsid w:val="00C24C8D"/>
    <w:rsid w:val="00C25FE2"/>
    <w:rsid w:val="00C26B53"/>
    <w:rsid w:val="00C279B2"/>
    <w:rsid w:val="00C33E50"/>
    <w:rsid w:val="00C34160"/>
    <w:rsid w:val="00C34C20"/>
    <w:rsid w:val="00C35A3E"/>
    <w:rsid w:val="00C411B1"/>
    <w:rsid w:val="00C42130"/>
    <w:rsid w:val="00C423A4"/>
    <w:rsid w:val="00C43212"/>
    <w:rsid w:val="00C44BF5"/>
    <w:rsid w:val="00C50BA9"/>
    <w:rsid w:val="00C521D6"/>
    <w:rsid w:val="00C55232"/>
    <w:rsid w:val="00C553A4"/>
    <w:rsid w:val="00C55A06"/>
    <w:rsid w:val="00C55D03"/>
    <w:rsid w:val="00C57AEE"/>
    <w:rsid w:val="00C601BC"/>
    <w:rsid w:val="00C6191F"/>
    <w:rsid w:val="00C6329F"/>
    <w:rsid w:val="00C63340"/>
    <w:rsid w:val="00C63CC2"/>
    <w:rsid w:val="00C643F9"/>
    <w:rsid w:val="00C64E95"/>
    <w:rsid w:val="00C64ECE"/>
    <w:rsid w:val="00C670FD"/>
    <w:rsid w:val="00C71372"/>
    <w:rsid w:val="00C72410"/>
    <w:rsid w:val="00C7287F"/>
    <w:rsid w:val="00C80CB8"/>
    <w:rsid w:val="00C819F8"/>
    <w:rsid w:val="00C8248C"/>
    <w:rsid w:val="00C82E66"/>
    <w:rsid w:val="00C84E33"/>
    <w:rsid w:val="00C86D6F"/>
    <w:rsid w:val="00C87A5D"/>
    <w:rsid w:val="00C905FC"/>
    <w:rsid w:val="00C92362"/>
    <w:rsid w:val="00C92D03"/>
    <w:rsid w:val="00C9319C"/>
    <w:rsid w:val="00C9435D"/>
    <w:rsid w:val="00C94DF2"/>
    <w:rsid w:val="00C95C85"/>
    <w:rsid w:val="00C96741"/>
    <w:rsid w:val="00C96981"/>
    <w:rsid w:val="00CA2D1B"/>
    <w:rsid w:val="00CA375D"/>
    <w:rsid w:val="00CA662A"/>
    <w:rsid w:val="00CA7AFD"/>
    <w:rsid w:val="00CA7C3C"/>
    <w:rsid w:val="00CB00CC"/>
    <w:rsid w:val="00CB0189"/>
    <w:rsid w:val="00CB0BA2"/>
    <w:rsid w:val="00CB1A42"/>
    <w:rsid w:val="00CB1B0C"/>
    <w:rsid w:val="00CB2C0B"/>
    <w:rsid w:val="00CB517D"/>
    <w:rsid w:val="00CC038D"/>
    <w:rsid w:val="00CC08DB"/>
    <w:rsid w:val="00CC377B"/>
    <w:rsid w:val="00CC39FF"/>
    <w:rsid w:val="00CC3C2F"/>
    <w:rsid w:val="00CC4AC8"/>
    <w:rsid w:val="00CC5053"/>
    <w:rsid w:val="00CC5233"/>
    <w:rsid w:val="00CC5DE6"/>
    <w:rsid w:val="00CC5E73"/>
    <w:rsid w:val="00CC6E4E"/>
    <w:rsid w:val="00CC6FE8"/>
    <w:rsid w:val="00CC7202"/>
    <w:rsid w:val="00CD2808"/>
    <w:rsid w:val="00CD28BF"/>
    <w:rsid w:val="00CD32E1"/>
    <w:rsid w:val="00CD4092"/>
    <w:rsid w:val="00CD4A20"/>
    <w:rsid w:val="00CD50A1"/>
    <w:rsid w:val="00CD519E"/>
    <w:rsid w:val="00CD561D"/>
    <w:rsid w:val="00CE0C4F"/>
    <w:rsid w:val="00CE30EA"/>
    <w:rsid w:val="00CE5823"/>
    <w:rsid w:val="00CE5D3F"/>
    <w:rsid w:val="00CE7D33"/>
    <w:rsid w:val="00CF048A"/>
    <w:rsid w:val="00CF155A"/>
    <w:rsid w:val="00CF2947"/>
    <w:rsid w:val="00CF576F"/>
    <w:rsid w:val="00CF686F"/>
    <w:rsid w:val="00CF6E60"/>
    <w:rsid w:val="00CF74A2"/>
    <w:rsid w:val="00CF7BCA"/>
    <w:rsid w:val="00D00783"/>
    <w:rsid w:val="00D008FD"/>
    <w:rsid w:val="00D0321C"/>
    <w:rsid w:val="00D035EC"/>
    <w:rsid w:val="00D04483"/>
    <w:rsid w:val="00D06AB1"/>
    <w:rsid w:val="00D072ED"/>
    <w:rsid w:val="00D07A16"/>
    <w:rsid w:val="00D1067E"/>
    <w:rsid w:val="00D10F50"/>
    <w:rsid w:val="00D11272"/>
    <w:rsid w:val="00D126F5"/>
    <w:rsid w:val="00D13F5D"/>
    <w:rsid w:val="00D1489E"/>
    <w:rsid w:val="00D20737"/>
    <w:rsid w:val="00D20C8A"/>
    <w:rsid w:val="00D21E81"/>
    <w:rsid w:val="00D22071"/>
    <w:rsid w:val="00D223BF"/>
    <w:rsid w:val="00D223DE"/>
    <w:rsid w:val="00D2539A"/>
    <w:rsid w:val="00D25B7F"/>
    <w:rsid w:val="00D25E37"/>
    <w:rsid w:val="00D2661A"/>
    <w:rsid w:val="00D27582"/>
    <w:rsid w:val="00D27EC4"/>
    <w:rsid w:val="00D321B8"/>
    <w:rsid w:val="00D32719"/>
    <w:rsid w:val="00D33333"/>
    <w:rsid w:val="00D33457"/>
    <w:rsid w:val="00D352A2"/>
    <w:rsid w:val="00D37CDC"/>
    <w:rsid w:val="00D4162B"/>
    <w:rsid w:val="00D4514F"/>
    <w:rsid w:val="00D451E2"/>
    <w:rsid w:val="00D45E89"/>
    <w:rsid w:val="00D45E8D"/>
    <w:rsid w:val="00D466AE"/>
    <w:rsid w:val="00D4734F"/>
    <w:rsid w:val="00D51BF3"/>
    <w:rsid w:val="00D56A0E"/>
    <w:rsid w:val="00D57A0F"/>
    <w:rsid w:val="00D6177B"/>
    <w:rsid w:val="00D66580"/>
    <w:rsid w:val="00D66846"/>
    <w:rsid w:val="00D675FB"/>
    <w:rsid w:val="00D71F25"/>
    <w:rsid w:val="00D72A9C"/>
    <w:rsid w:val="00D77031"/>
    <w:rsid w:val="00D80C46"/>
    <w:rsid w:val="00D81EBF"/>
    <w:rsid w:val="00D84941"/>
    <w:rsid w:val="00D84FA1"/>
    <w:rsid w:val="00D851F0"/>
    <w:rsid w:val="00D86DB7"/>
    <w:rsid w:val="00D926D0"/>
    <w:rsid w:val="00D93030"/>
    <w:rsid w:val="00D93DFF"/>
    <w:rsid w:val="00D950E1"/>
    <w:rsid w:val="00D952A6"/>
    <w:rsid w:val="00D978CD"/>
    <w:rsid w:val="00D97F99"/>
    <w:rsid w:val="00DA1E08"/>
    <w:rsid w:val="00DA24F8"/>
    <w:rsid w:val="00DA28E8"/>
    <w:rsid w:val="00DA38D3"/>
    <w:rsid w:val="00DA3932"/>
    <w:rsid w:val="00DA3AFC"/>
    <w:rsid w:val="00DA5191"/>
    <w:rsid w:val="00DA64F8"/>
    <w:rsid w:val="00DA6C15"/>
    <w:rsid w:val="00DB0258"/>
    <w:rsid w:val="00DB1B11"/>
    <w:rsid w:val="00DB262B"/>
    <w:rsid w:val="00DB38EE"/>
    <w:rsid w:val="00DB498B"/>
    <w:rsid w:val="00DB66CA"/>
    <w:rsid w:val="00DB6BCA"/>
    <w:rsid w:val="00DB73F7"/>
    <w:rsid w:val="00DC0321"/>
    <w:rsid w:val="00DC3067"/>
    <w:rsid w:val="00DC370B"/>
    <w:rsid w:val="00DC5B90"/>
    <w:rsid w:val="00DC5C55"/>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3C9B"/>
    <w:rsid w:val="00DF44DE"/>
    <w:rsid w:val="00DF5F11"/>
    <w:rsid w:val="00E00EA3"/>
    <w:rsid w:val="00E01138"/>
    <w:rsid w:val="00E02DFB"/>
    <w:rsid w:val="00E030F9"/>
    <w:rsid w:val="00E0311A"/>
    <w:rsid w:val="00E03138"/>
    <w:rsid w:val="00E06404"/>
    <w:rsid w:val="00E065D2"/>
    <w:rsid w:val="00E11A85"/>
    <w:rsid w:val="00E12495"/>
    <w:rsid w:val="00E15CCD"/>
    <w:rsid w:val="00E16380"/>
    <w:rsid w:val="00E202EF"/>
    <w:rsid w:val="00E210B5"/>
    <w:rsid w:val="00E23D99"/>
    <w:rsid w:val="00E2552F"/>
    <w:rsid w:val="00E3137A"/>
    <w:rsid w:val="00E32C06"/>
    <w:rsid w:val="00E32CCF"/>
    <w:rsid w:val="00E34A98"/>
    <w:rsid w:val="00E35D1E"/>
    <w:rsid w:val="00E364F9"/>
    <w:rsid w:val="00E365FA"/>
    <w:rsid w:val="00E36789"/>
    <w:rsid w:val="00E44A83"/>
    <w:rsid w:val="00E502C1"/>
    <w:rsid w:val="00E502DD"/>
    <w:rsid w:val="00E50D3A"/>
    <w:rsid w:val="00E51387"/>
    <w:rsid w:val="00E51E68"/>
    <w:rsid w:val="00E52EFD"/>
    <w:rsid w:val="00E53829"/>
    <w:rsid w:val="00E5408A"/>
    <w:rsid w:val="00E56800"/>
    <w:rsid w:val="00E60C63"/>
    <w:rsid w:val="00E61466"/>
    <w:rsid w:val="00E62318"/>
    <w:rsid w:val="00E62FF9"/>
    <w:rsid w:val="00E635D6"/>
    <w:rsid w:val="00E639BC"/>
    <w:rsid w:val="00E663E6"/>
    <w:rsid w:val="00E664CC"/>
    <w:rsid w:val="00E66FA4"/>
    <w:rsid w:val="00E70388"/>
    <w:rsid w:val="00E70F92"/>
    <w:rsid w:val="00E74C54"/>
    <w:rsid w:val="00E770DE"/>
    <w:rsid w:val="00E77A03"/>
    <w:rsid w:val="00E80601"/>
    <w:rsid w:val="00E822E8"/>
    <w:rsid w:val="00E82554"/>
    <w:rsid w:val="00E82606"/>
    <w:rsid w:val="00E846C8"/>
    <w:rsid w:val="00E84957"/>
    <w:rsid w:val="00E84A55"/>
    <w:rsid w:val="00E85BFF"/>
    <w:rsid w:val="00E90391"/>
    <w:rsid w:val="00E906C2"/>
    <w:rsid w:val="00E9232E"/>
    <w:rsid w:val="00E9311F"/>
    <w:rsid w:val="00E934D1"/>
    <w:rsid w:val="00E94AF0"/>
    <w:rsid w:val="00E95D13"/>
    <w:rsid w:val="00E95DD3"/>
    <w:rsid w:val="00E969D5"/>
    <w:rsid w:val="00EA1079"/>
    <w:rsid w:val="00EA4AA5"/>
    <w:rsid w:val="00EA56A2"/>
    <w:rsid w:val="00EA58D1"/>
    <w:rsid w:val="00EA61BC"/>
    <w:rsid w:val="00EA681A"/>
    <w:rsid w:val="00EA735B"/>
    <w:rsid w:val="00EB17DE"/>
    <w:rsid w:val="00EB1E69"/>
    <w:rsid w:val="00EB2086"/>
    <w:rsid w:val="00EB5EDF"/>
    <w:rsid w:val="00EB60FE"/>
    <w:rsid w:val="00EB74DB"/>
    <w:rsid w:val="00EC2228"/>
    <w:rsid w:val="00EC5359"/>
    <w:rsid w:val="00EC562A"/>
    <w:rsid w:val="00EC6B6A"/>
    <w:rsid w:val="00ED067A"/>
    <w:rsid w:val="00ED2B50"/>
    <w:rsid w:val="00ED616F"/>
    <w:rsid w:val="00EE0350"/>
    <w:rsid w:val="00EE0719"/>
    <w:rsid w:val="00EE0E80"/>
    <w:rsid w:val="00EE1DA1"/>
    <w:rsid w:val="00EE54A6"/>
    <w:rsid w:val="00EE613F"/>
    <w:rsid w:val="00EE6356"/>
    <w:rsid w:val="00EE7295"/>
    <w:rsid w:val="00EE7869"/>
    <w:rsid w:val="00EF054A"/>
    <w:rsid w:val="00EF3235"/>
    <w:rsid w:val="00EF7E72"/>
    <w:rsid w:val="00F06D37"/>
    <w:rsid w:val="00F07B9D"/>
    <w:rsid w:val="00F11586"/>
    <w:rsid w:val="00F1183B"/>
    <w:rsid w:val="00F11C9F"/>
    <w:rsid w:val="00F12263"/>
    <w:rsid w:val="00F1409D"/>
    <w:rsid w:val="00F14214"/>
    <w:rsid w:val="00F1438F"/>
    <w:rsid w:val="00F157A9"/>
    <w:rsid w:val="00F251B2"/>
    <w:rsid w:val="00F25BB6"/>
    <w:rsid w:val="00F26B7E"/>
    <w:rsid w:val="00F27A3B"/>
    <w:rsid w:val="00F33817"/>
    <w:rsid w:val="00F420D5"/>
    <w:rsid w:val="00F42C8E"/>
    <w:rsid w:val="00F451EA"/>
    <w:rsid w:val="00F45447"/>
    <w:rsid w:val="00F456C6"/>
    <w:rsid w:val="00F4577B"/>
    <w:rsid w:val="00F46496"/>
    <w:rsid w:val="00F474D0"/>
    <w:rsid w:val="00F50179"/>
    <w:rsid w:val="00F50D2E"/>
    <w:rsid w:val="00F515EE"/>
    <w:rsid w:val="00F56511"/>
    <w:rsid w:val="00F6194E"/>
    <w:rsid w:val="00F623AC"/>
    <w:rsid w:val="00F640D6"/>
    <w:rsid w:val="00F6412A"/>
    <w:rsid w:val="00F65893"/>
    <w:rsid w:val="00F66A4A"/>
    <w:rsid w:val="00F71141"/>
    <w:rsid w:val="00F71250"/>
    <w:rsid w:val="00F71E22"/>
    <w:rsid w:val="00F72142"/>
    <w:rsid w:val="00F72AE7"/>
    <w:rsid w:val="00F8090A"/>
    <w:rsid w:val="00F81141"/>
    <w:rsid w:val="00F833BA"/>
    <w:rsid w:val="00F84FD0"/>
    <w:rsid w:val="00F859A8"/>
    <w:rsid w:val="00F85A9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B763B"/>
    <w:rsid w:val="00FC17B7"/>
    <w:rsid w:val="00FC2CB7"/>
    <w:rsid w:val="00FC4090"/>
    <w:rsid w:val="00FC55B4"/>
    <w:rsid w:val="00FD00E6"/>
    <w:rsid w:val="00FD09A1"/>
    <w:rsid w:val="00FD2110"/>
    <w:rsid w:val="00FD2A7C"/>
    <w:rsid w:val="00FD3F97"/>
    <w:rsid w:val="00FD5039"/>
    <w:rsid w:val="00FD59EB"/>
    <w:rsid w:val="00FD7299"/>
    <w:rsid w:val="00FE07C6"/>
    <w:rsid w:val="00FE18F8"/>
    <w:rsid w:val="00FE1FBE"/>
    <w:rsid w:val="00FE3901"/>
    <w:rsid w:val="00FE39D3"/>
    <w:rsid w:val="00FE4BCE"/>
    <w:rsid w:val="00FE5027"/>
    <w:rsid w:val="00FE54AE"/>
    <w:rsid w:val="00FE576A"/>
    <w:rsid w:val="00FE7E79"/>
    <w:rsid w:val="00FF3E7D"/>
    <w:rsid w:val="00FF5B99"/>
    <w:rsid w:val="00FF66CE"/>
    <w:rsid w:val="00FF730C"/>
    <w:rsid w:val="00FF73F4"/>
    <w:rsid w:val="00FF7CE4"/>
    <w:rsid w:val="00FF7E39"/>
    <w:rsid w:val="43B92477"/>
    <w:rsid w:val="6FA8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6">
    <w:name w:val="Default Paragraph Font"/>
    <w:semiHidden/>
    <w:unhideWhenUsed/>
    <w:qFormat/>
    <w:uiPriority w:val="1"/>
  </w:style>
  <w:style w:type="table" w:default="1" w:styleId="32">
    <w:name w:val="Normal Table"/>
    <w:semiHidden/>
    <w:unhideWhenUsed/>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uiPriority w:val="0"/>
    <w:pPr>
      <w:spacing w:after="120"/>
    </w:pPr>
  </w:style>
  <w:style w:type="paragraph" w:styleId="14">
    <w:name w:val="toc 5"/>
    <w:basedOn w:val="1"/>
    <w:next w:val="1"/>
    <w:unhideWhenUsed/>
    <w:uiPriority w:val="39"/>
    <w:pPr>
      <w:ind w:left="839"/>
    </w:pPr>
    <w:rPr>
      <w:rFonts w:ascii="宋体"/>
    </w:rPr>
  </w:style>
  <w:style w:type="paragraph" w:styleId="15">
    <w:name w:val="toc 3"/>
    <w:basedOn w:val="1"/>
    <w:next w:val="1"/>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uiPriority w:val="39"/>
    <w:rPr>
      <w:rFonts w:ascii="宋体"/>
    </w:rPr>
  </w:style>
  <w:style w:type="paragraph" w:styleId="20">
    <w:name w:val="toc 4"/>
    <w:basedOn w:val="1"/>
    <w:next w:val="1"/>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character" w:styleId="27">
    <w:name w:val="Strong"/>
    <w:qFormat/>
    <w:uiPriority w:val="22"/>
    <w:rPr>
      <w:b/>
      <w:bCs/>
    </w:rPr>
  </w:style>
  <w:style w:type="character" w:styleId="28">
    <w:name w:val="page number"/>
    <w:qFormat/>
    <w:uiPriority w:val="0"/>
    <w:rPr>
      <w:rFonts w:ascii="宋体" w:hAnsi="Times New Roman" w:eastAsia="宋体"/>
      <w:sz w:val="18"/>
    </w:rPr>
  </w:style>
  <w:style w:type="character" w:styleId="29">
    <w:name w:val="Emphasis"/>
    <w:qFormat/>
    <w:uiPriority w:val="20"/>
    <w:rPr>
      <w:i/>
      <w:iCs/>
    </w:rPr>
  </w:style>
  <w:style w:type="character" w:styleId="30">
    <w:name w:val="Hyperlink"/>
    <w:uiPriority w:val="99"/>
    <w:rPr>
      <w:rFonts w:ascii="宋体" w:hAnsi="Times New Roman" w:eastAsia="宋体"/>
      <w:color w:val="auto"/>
      <w:spacing w:val="0"/>
      <w:w w:val="100"/>
      <w:position w:val="0"/>
      <w:sz w:val="21"/>
      <w:u w:val="none"/>
      <w:vertAlign w:val="baseline"/>
    </w:rPr>
  </w:style>
  <w:style w:type="character" w:styleId="31">
    <w:name w:val="footnote reference"/>
    <w:semiHidden/>
    <w:qFormat/>
    <w:uiPriority w:val="0"/>
    <w:rPr>
      <w:rFonts w:ascii="宋体" w:hAnsi="宋体" w:eastAsia="宋体" w:cs="Times New Roman"/>
      <w:spacing w:val="0"/>
      <w:sz w:val="18"/>
      <w:vertAlign w:val="superscript"/>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4">
    <w:name w:val="标题 1 字符"/>
    <w:link w:val="2"/>
    <w:uiPriority w:val="0"/>
    <w:rPr>
      <w:b/>
      <w:bCs/>
      <w:kern w:val="44"/>
      <w:sz w:val="44"/>
      <w:szCs w:val="44"/>
    </w:rPr>
  </w:style>
  <w:style w:type="character" w:customStyle="1" w:styleId="35">
    <w:name w:val="标题 2 字符"/>
    <w:link w:val="3"/>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uiPriority w:val="0"/>
    <w:rPr>
      <w:rFonts w:ascii="Arial" w:hAnsi="Arial" w:eastAsia="黑体"/>
      <w:b/>
      <w:bCs/>
      <w:kern w:val="2"/>
      <w:sz w:val="24"/>
      <w:szCs w:val="24"/>
    </w:rPr>
  </w:style>
  <w:style w:type="character" w:customStyle="1" w:styleId="40">
    <w:name w:val="标题 7 字符"/>
    <w:link w:val="8"/>
    <w:uiPriority w:val="0"/>
    <w:rPr>
      <w:b/>
      <w:bCs/>
      <w:kern w:val="2"/>
      <w:sz w:val="24"/>
      <w:szCs w:val="24"/>
    </w:rPr>
  </w:style>
  <w:style w:type="character" w:customStyle="1" w:styleId="41">
    <w:name w:val="标题 8 字符"/>
    <w:link w:val="9"/>
    <w:uiPriority w:val="0"/>
    <w:rPr>
      <w:rFonts w:ascii="Arial" w:hAnsi="Arial" w:eastAsia="黑体"/>
      <w:kern w:val="2"/>
      <w:sz w:val="24"/>
      <w:szCs w:val="24"/>
    </w:rPr>
  </w:style>
  <w:style w:type="character" w:customStyle="1" w:styleId="42">
    <w:name w:val="标题 9 字符"/>
    <w:link w:val="10"/>
    <w:uiPriority w:val="0"/>
    <w:rPr>
      <w:rFonts w:ascii="Arial" w:hAnsi="Arial" w:eastAsia="黑体"/>
      <w:kern w:val="2"/>
      <w:sz w:val="21"/>
      <w:szCs w:val="21"/>
    </w:rPr>
  </w:style>
  <w:style w:type="character" w:customStyle="1" w:styleId="43">
    <w:name w:val="页眉 字符"/>
    <w:link w:val="18"/>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uiPriority w:val="0"/>
    <w:rPr>
      <w:rFonts w:ascii="Arial" w:hAnsi="Arial" w:cs="Arial"/>
      <w:b/>
      <w:bCs/>
      <w:kern w:val="2"/>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uiPriority w:val="0"/>
    <w:pPr>
      <w:jc w:val="both"/>
    </w:pPr>
    <w:rPr>
      <w:rFonts w:ascii="Times New Roman" w:hAnsi="Times New Roman" w:eastAsia="宋体" w:cs="Times New Roman"/>
      <w:lang w:val="en-US" w:eastAsia="zh-CN" w:bidi="ar-SA"/>
    </w:rPr>
  </w:style>
  <w:style w:type="paragraph" w:customStyle="1" w:styleId="54">
    <w:name w:val="标准文件_ICS"/>
    <w:basedOn w:val="1"/>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kern w:val="0"/>
    </w:rPr>
  </w:style>
  <w:style w:type="paragraph" w:customStyle="1" w:styleId="56">
    <w:name w:val="标准文件_段"/>
    <w:link w:val="184"/>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uiPriority w:val="0"/>
    <w:pPr>
      <w:jc w:val="center"/>
    </w:pPr>
    <w:rPr>
      <w:rFonts w:ascii="黑体" w:eastAsia="黑体"/>
      <w:kern w:val="0"/>
      <w:sz w:val="44"/>
    </w:rPr>
  </w:style>
  <w:style w:type="paragraph" w:customStyle="1" w:styleId="59">
    <w:name w:val="标准文件_标准代替"/>
    <w:basedOn w:val="1"/>
    <w:next w:val="1"/>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uiPriority w:val="0"/>
    <w:pPr>
      <w:jc w:val="left"/>
    </w:pPr>
  </w:style>
  <w:style w:type="paragraph" w:customStyle="1" w:styleId="63">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uiPriority w:val="0"/>
    <w:rPr>
      <w:kern w:val="2"/>
      <w:sz w:val="21"/>
      <w:szCs w:val="21"/>
    </w:rPr>
  </w:style>
  <w:style w:type="paragraph" w:customStyle="1" w:styleId="87">
    <w:name w:val="标准文件_附录章标题"/>
    <w:next w:val="56"/>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6"/>
    <w:semiHidden/>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6"/>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vAnchor="page" w:hAnchor="page" w:x="1419" w:y="14097"/>
    </w:pPr>
  </w:style>
  <w:style w:type="paragraph" w:customStyle="1" w:styleId="194">
    <w:name w:val="其他实施日期"/>
    <w:basedOn w:val="154"/>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6"/>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9AE9B56BC79477C8BAABB2042723EC4"/>
        <w:style w:val=""/>
        <w:category>
          <w:name w:val="常规"/>
          <w:gallery w:val="placeholder"/>
        </w:category>
        <w:types>
          <w:type w:val="bbPlcHdr"/>
        </w:types>
        <w:behaviors>
          <w:behavior w:val="content"/>
        </w:behaviors>
        <w:description w:val=""/>
        <w:guid w:val="{482D8F69-2EAD-4C82-8CAB-7FA19EDCF486}"/>
      </w:docPartPr>
      <w:docPartBody>
        <w:p>
          <w:pPr>
            <w:pStyle w:val="5"/>
          </w:pPr>
          <w:r>
            <w:rPr>
              <w:rStyle w:val="4"/>
              <w:rFonts w:hint="eastAsia"/>
            </w:rPr>
            <w:t>单击或点击此处输入文字。</w:t>
          </w:r>
        </w:p>
      </w:docPartBody>
    </w:docPart>
    <w:docPart>
      <w:docPartPr>
        <w:name w:val="C60860083B4E4ED38322EEB276435BC0"/>
        <w:style w:val=""/>
        <w:category>
          <w:name w:val="常规"/>
          <w:gallery w:val="placeholder"/>
        </w:category>
        <w:types>
          <w:type w:val="bbPlcHdr"/>
        </w:types>
        <w:behaviors>
          <w:behavior w:val="content"/>
        </w:behaviors>
        <w:description w:val=""/>
        <w:guid w:val="{68752980-3E64-4E7D-818C-04F6A3F96213}"/>
      </w:docPartPr>
      <w:docPartBody>
        <w:p>
          <w:pPr>
            <w:pStyle w:val="6"/>
          </w:pPr>
          <w:r>
            <w:rPr>
              <w:rStyle w:val="4"/>
              <w:rFonts w:hint="eastAsia"/>
            </w:rPr>
            <w:t>选择一项。</w:t>
          </w:r>
        </w:p>
      </w:docPartBody>
    </w:docPart>
    <w:docPart>
      <w:docPartPr>
        <w:name w:val="CFC1FD097C19416C89D966FFB9E45028"/>
        <w:style w:val=""/>
        <w:category>
          <w:name w:val="常规"/>
          <w:gallery w:val="placeholder"/>
        </w:category>
        <w:types>
          <w:type w:val="bbPlcHdr"/>
        </w:types>
        <w:behaviors>
          <w:behavior w:val="content"/>
        </w:behaviors>
        <w:description w:val=""/>
        <w:guid w:val="{5572A197-E074-442A-B306-005B09DC8F3A}"/>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BD"/>
    <w:rsid w:val="00167BC0"/>
    <w:rsid w:val="002741B0"/>
    <w:rsid w:val="003161D8"/>
    <w:rsid w:val="00333FF0"/>
    <w:rsid w:val="003C5980"/>
    <w:rsid w:val="003E6A5F"/>
    <w:rsid w:val="00403065"/>
    <w:rsid w:val="00446C59"/>
    <w:rsid w:val="004578BD"/>
    <w:rsid w:val="004E7151"/>
    <w:rsid w:val="00520346"/>
    <w:rsid w:val="00557371"/>
    <w:rsid w:val="00583407"/>
    <w:rsid w:val="00592439"/>
    <w:rsid w:val="00627D09"/>
    <w:rsid w:val="00693F04"/>
    <w:rsid w:val="007323FF"/>
    <w:rsid w:val="00746118"/>
    <w:rsid w:val="00767158"/>
    <w:rsid w:val="009919A4"/>
    <w:rsid w:val="009A7822"/>
    <w:rsid w:val="00AB7CCB"/>
    <w:rsid w:val="00B94CD8"/>
    <w:rsid w:val="00BA7EFB"/>
    <w:rsid w:val="00CA1509"/>
    <w:rsid w:val="00CC7DDF"/>
    <w:rsid w:val="00CF03D8"/>
    <w:rsid w:val="00D3560D"/>
    <w:rsid w:val="00D62F11"/>
    <w:rsid w:val="00D7229C"/>
    <w:rsid w:val="00E964A9"/>
    <w:rsid w:val="00F96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59AE9B56BC79477C8BAABB2042723EC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60860083B4E4ED38322EEB276435BC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FC1FD097C19416C89D966FFB9E45028"/>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EA0E3-C2B6-4174-A82B-2782959A03BD}">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12</Pages>
  <Words>1672</Words>
  <Characters>9537</Characters>
  <Lines>79</Lines>
  <Paragraphs>22</Paragraphs>
  <TotalTime>449</TotalTime>
  <ScaleCrop>false</ScaleCrop>
  <LinksUpToDate>false</LinksUpToDate>
  <CharactersWithSpaces>11187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2023-03-27T03:26:00Z</dcterms:created>
  <dc:creator>姚璐</dc:creator>
  <dc:description>&lt;config cover="true" show_menu="true" version="1.0.0" doctype="SDKXY"&gt;_x000d_
&lt;/config&gt;</dc:description>
  <cp:lastModifiedBy>潘博源</cp:lastModifiedBy>
  <cp:lastPrinted>2023-02-27T03:16:00Z</cp:lastPrinted>
  <dcterms:modified xsi:type="dcterms:W3CDTF">2023-05-24T09:37:16Z</dcterms:modified>
  <dc:title>地方标准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2052-10.8.2.6613</vt:lpwstr>
  </property>
</Properties>
</file>